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DB81E" w14:textId="77777777" w:rsidR="00FC4654" w:rsidRPr="00FC4654" w:rsidRDefault="00FC4654" w:rsidP="00FC4654">
      <w:pPr>
        <w:spacing w:after="0" w:line="240" w:lineRule="auto"/>
        <w:rPr>
          <w:rFonts w:ascii="Times New Roman" w:eastAsia="Times New Roman" w:hAnsi="Times New Roman" w:cs="Times New Roman"/>
          <w:sz w:val="24"/>
          <w:szCs w:val="24"/>
          <w:lang w:eastAsia="es-MX"/>
        </w:rPr>
      </w:pPr>
    </w:p>
    <w:p w14:paraId="6F0D238C" w14:textId="77777777" w:rsidR="00FC4654" w:rsidRPr="00FC4654" w:rsidRDefault="00FC4654" w:rsidP="00FC4654">
      <w:pPr>
        <w:spacing w:after="0" w:line="240" w:lineRule="auto"/>
        <w:rPr>
          <w:rFonts w:ascii="Times New Roman" w:eastAsia="Times New Roman" w:hAnsi="Times New Roman" w:cs="Times New Roman"/>
          <w:sz w:val="24"/>
          <w:szCs w:val="24"/>
          <w:lang w:eastAsia="es-MX"/>
        </w:rPr>
      </w:pPr>
      <w:r w:rsidRPr="00FC4654">
        <w:rPr>
          <w:rFonts w:ascii="Times New Roman" w:eastAsia="Times New Roman" w:hAnsi="Times New Roman" w:cs="Times New Roman"/>
          <w:b/>
          <w:bCs/>
          <w:sz w:val="27"/>
          <w:szCs w:val="27"/>
          <w:lang w:eastAsia="es-MX"/>
        </w:rPr>
        <w:t>Housing Development Costs</w:t>
      </w:r>
    </w:p>
    <w:p w14:paraId="6619AB17" w14:textId="77777777" w:rsidR="00FC4654" w:rsidRPr="00FC4654" w:rsidRDefault="00FC4654" w:rsidP="00FC4654">
      <w:pPr>
        <w:spacing w:after="0" w:line="240" w:lineRule="auto"/>
        <w:rPr>
          <w:rFonts w:ascii="Times New Roman" w:eastAsia="Times New Roman" w:hAnsi="Times New Roman" w:cs="Times New Roman"/>
          <w:sz w:val="24"/>
          <w:szCs w:val="24"/>
          <w:lang w:eastAsia="es-MX"/>
        </w:rPr>
      </w:pPr>
    </w:p>
    <w:p w14:paraId="01C58DAA" w14:textId="523E0478" w:rsidR="00FC4654" w:rsidRPr="00A348FF" w:rsidRDefault="00FC4654" w:rsidP="00FC4654">
      <w:pPr>
        <w:spacing w:after="0" w:line="240" w:lineRule="auto"/>
        <w:rPr>
          <w:rFonts w:ascii="Times New Roman" w:eastAsia="Times New Roman" w:hAnsi="Times New Roman" w:cs="Times New Roman"/>
          <w:sz w:val="24"/>
          <w:szCs w:val="24"/>
          <w:lang w:eastAsia="es-MX"/>
        </w:rPr>
      </w:pPr>
      <w:r w:rsidRPr="00FC4654">
        <w:rPr>
          <w:rFonts w:ascii="Times New Roman" w:eastAsia="Times New Roman" w:hAnsi="Times New Roman" w:cs="Times New Roman"/>
          <w:sz w:val="24"/>
          <w:szCs w:val="24"/>
          <w:lang w:eastAsia="es-MX"/>
        </w:rPr>
        <w:t xml:space="preserve">Attached is the report from Century Urban that examines the cost to build single and multi-unit </w:t>
      </w:r>
      <w:r w:rsidRPr="00A348FF">
        <w:rPr>
          <w:rFonts w:ascii="Times New Roman" w:eastAsia="Times New Roman" w:hAnsi="Times New Roman" w:cs="Times New Roman"/>
          <w:sz w:val="24"/>
          <w:szCs w:val="24"/>
          <w:lang w:eastAsia="es-MX"/>
        </w:rPr>
        <w:t>housing in San</w:t>
      </w:r>
      <w:r w:rsidR="00D302F3" w:rsidRPr="00A348FF">
        <w:rPr>
          <w:rFonts w:ascii="Times New Roman" w:eastAsia="Times New Roman" w:hAnsi="Times New Roman" w:cs="Times New Roman"/>
          <w:sz w:val="24"/>
          <w:szCs w:val="24"/>
          <w:lang w:eastAsia="es-MX"/>
        </w:rPr>
        <w:t>ta Clara</w:t>
      </w:r>
      <w:r w:rsidRPr="00A348FF">
        <w:rPr>
          <w:rFonts w:ascii="Times New Roman" w:eastAsia="Times New Roman" w:hAnsi="Times New Roman" w:cs="Times New Roman"/>
          <w:sz w:val="24"/>
          <w:szCs w:val="24"/>
          <w:lang w:eastAsia="es-MX"/>
        </w:rPr>
        <w:t xml:space="preserve"> County. Development costs are broken down in </w:t>
      </w:r>
      <w:r w:rsidRPr="00A348FF">
        <w:rPr>
          <w:rFonts w:ascii="Times New Roman" w:eastAsia="Times New Roman" w:hAnsi="Times New Roman" w:cs="Times New Roman"/>
          <w:b/>
          <w:bCs/>
          <w:sz w:val="24"/>
          <w:szCs w:val="24"/>
          <w:lang w:eastAsia="es-MX"/>
        </w:rPr>
        <w:t>land costs</w:t>
      </w:r>
      <w:r w:rsidRPr="00A348FF">
        <w:rPr>
          <w:rFonts w:ascii="Times New Roman" w:eastAsia="Times New Roman" w:hAnsi="Times New Roman" w:cs="Times New Roman"/>
          <w:sz w:val="24"/>
          <w:szCs w:val="24"/>
          <w:lang w:eastAsia="es-MX"/>
        </w:rPr>
        <w:t>, </w:t>
      </w:r>
      <w:r w:rsidRPr="00A348FF">
        <w:rPr>
          <w:rFonts w:ascii="Times New Roman" w:eastAsia="Times New Roman" w:hAnsi="Times New Roman" w:cs="Times New Roman"/>
          <w:b/>
          <w:bCs/>
          <w:sz w:val="24"/>
          <w:szCs w:val="24"/>
          <w:lang w:eastAsia="es-MX"/>
        </w:rPr>
        <w:t>hard costs</w:t>
      </w:r>
      <w:r w:rsidRPr="00A348FF">
        <w:rPr>
          <w:rFonts w:ascii="Times New Roman" w:eastAsia="Times New Roman" w:hAnsi="Times New Roman" w:cs="Times New Roman"/>
          <w:sz w:val="24"/>
          <w:szCs w:val="24"/>
          <w:lang w:eastAsia="es-MX"/>
        </w:rPr>
        <w:t> (materials and labor), and </w:t>
      </w:r>
      <w:r w:rsidRPr="00A348FF">
        <w:rPr>
          <w:rFonts w:ascii="Times New Roman" w:eastAsia="Times New Roman" w:hAnsi="Times New Roman" w:cs="Times New Roman"/>
          <w:b/>
          <w:bCs/>
          <w:sz w:val="24"/>
          <w:szCs w:val="24"/>
          <w:lang w:eastAsia="es-MX"/>
        </w:rPr>
        <w:t>soft costs</w:t>
      </w:r>
      <w:r w:rsidRPr="00A348FF">
        <w:rPr>
          <w:rFonts w:ascii="Times New Roman" w:eastAsia="Times New Roman" w:hAnsi="Times New Roman" w:cs="Times New Roman"/>
          <w:sz w:val="24"/>
          <w:szCs w:val="24"/>
          <w:lang w:eastAsia="es-MX"/>
        </w:rPr>
        <w:t xml:space="preserve"> (the cost of architects, consultants, gov't fees, financing, </w:t>
      </w:r>
      <w:proofErr w:type="spellStart"/>
      <w:r w:rsidRPr="00A348FF">
        <w:rPr>
          <w:rFonts w:ascii="Times New Roman" w:eastAsia="Times New Roman" w:hAnsi="Times New Roman" w:cs="Times New Roman"/>
          <w:sz w:val="24"/>
          <w:szCs w:val="24"/>
          <w:lang w:eastAsia="es-MX"/>
        </w:rPr>
        <w:t>etc</w:t>
      </w:r>
      <w:proofErr w:type="spellEnd"/>
      <w:r w:rsidRPr="00A348FF">
        <w:rPr>
          <w:rFonts w:ascii="Times New Roman" w:eastAsia="Times New Roman" w:hAnsi="Times New Roman" w:cs="Times New Roman"/>
          <w:sz w:val="24"/>
          <w:szCs w:val="24"/>
          <w:lang w:eastAsia="es-MX"/>
        </w:rPr>
        <w:t>). </w:t>
      </w:r>
    </w:p>
    <w:p w14:paraId="12D87359" w14:textId="77777777" w:rsidR="00FC4654" w:rsidRPr="00A348FF" w:rsidRDefault="00FC4654" w:rsidP="00FC4654">
      <w:pPr>
        <w:spacing w:after="0" w:line="240" w:lineRule="auto"/>
        <w:rPr>
          <w:rFonts w:ascii="Times New Roman" w:eastAsia="Times New Roman" w:hAnsi="Times New Roman" w:cs="Times New Roman"/>
          <w:sz w:val="24"/>
          <w:szCs w:val="24"/>
          <w:lang w:eastAsia="es-MX"/>
        </w:rPr>
      </w:pPr>
    </w:p>
    <w:p w14:paraId="14CDE6D8" w14:textId="63101DCD" w:rsidR="00FC4654" w:rsidRPr="00A348FF" w:rsidRDefault="00FC4654" w:rsidP="00FC4654">
      <w:pPr>
        <w:spacing w:after="0" w:line="240" w:lineRule="auto"/>
        <w:rPr>
          <w:rFonts w:ascii="Times New Roman" w:eastAsia="Times New Roman" w:hAnsi="Times New Roman" w:cs="Times New Roman"/>
          <w:sz w:val="24"/>
          <w:szCs w:val="24"/>
          <w:lang w:eastAsia="es-MX"/>
        </w:rPr>
      </w:pPr>
      <w:r w:rsidRPr="00A348FF">
        <w:rPr>
          <w:rFonts w:ascii="Times New Roman" w:eastAsia="Times New Roman" w:hAnsi="Times New Roman" w:cs="Times New Roman"/>
          <w:b/>
          <w:bCs/>
          <w:sz w:val="24"/>
          <w:szCs w:val="24"/>
          <w:lang w:eastAsia="es-MX"/>
        </w:rPr>
        <w:t>Land Costs</w:t>
      </w:r>
      <w:r w:rsidRPr="00A348FF">
        <w:rPr>
          <w:rFonts w:ascii="Times New Roman" w:eastAsia="Times New Roman" w:hAnsi="Times New Roman" w:cs="Times New Roman"/>
          <w:sz w:val="24"/>
          <w:szCs w:val="24"/>
          <w:lang w:eastAsia="es-MX"/>
        </w:rPr>
        <w:t> - The cost of land for </w:t>
      </w:r>
      <w:r w:rsidRPr="00A348FF">
        <w:rPr>
          <w:rFonts w:ascii="Times New Roman" w:eastAsia="Times New Roman" w:hAnsi="Times New Roman" w:cs="Times New Roman"/>
          <w:b/>
          <w:bCs/>
          <w:sz w:val="24"/>
          <w:szCs w:val="24"/>
          <w:lang w:eastAsia="es-MX"/>
        </w:rPr>
        <w:t>single family homes</w:t>
      </w:r>
      <w:r w:rsidRPr="00A348FF">
        <w:rPr>
          <w:rFonts w:ascii="Times New Roman" w:eastAsia="Times New Roman" w:hAnsi="Times New Roman" w:cs="Times New Roman"/>
          <w:sz w:val="24"/>
          <w:szCs w:val="24"/>
          <w:lang w:eastAsia="es-MX"/>
        </w:rPr>
        <w:t>, by jurisdiction, is found on </w:t>
      </w:r>
      <w:r w:rsidRPr="00A348FF">
        <w:rPr>
          <w:rFonts w:ascii="Times New Roman" w:eastAsia="Times New Roman" w:hAnsi="Times New Roman" w:cs="Times New Roman"/>
          <w:b/>
          <w:bCs/>
          <w:sz w:val="24"/>
          <w:szCs w:val="24"/>
          <w:lang w:eastAsia="es-MX"/>
        </w:rPr>
        <w:t>p 7</w:t>
      </w:r>
      <w:r w:rsidRPr="00A348FF">
        <w:rPr>
          <w:rFonts w:ascii="Times New Roman" w:eastAsia="Times New Roman" w:hAnsi="Times New Roman" w:cs="Times New Roman"/>
          <w:sz w:val="24"/>
          <w:szCs w:val="24"/>
          <w:lang w:eastAsia="es-MX"/>
        </w:rPr>
        <w:t>. The cost of land for </w:t>
      </w:r>
      <w:r w:rsidRPr="00A348FF">
        <w:rPr>
          <w:rFonts w:ascii="Times New Roman" w:eastAsia="Times New Roman" w:hAnsi="Times New Roman" w:cs="Times New Roman"/>
          <w:b/>
          <w:bCs/>
          <w:sz w:val="24"/>
          <w:szCs w:val="24"/>
          <w:lang w:eastAsia="es-MX"/>
        </w:rPr>
        <w:t>multi-family homes</w:t>
      </w:r>
      <w:r w:rsidRPr="00A348FF">
        <w:rPr>
          <w:rFonts w:ascii="Times New Roman" w:eastAsia="Times New Roman" w:hAnsi="Times New Roman" w:cs="Times New Roman"/>
          <w:sz w:val="24"/>
          <w:szCs w:val="24"/>
          <w:lang w:eastAsia="es-MX"/>
        </w:rPr>
        <w:t>, by jurisdiction, is found on </w:t>
      </w:r>
      <w:r w:rsidRPr="00A348FF">
        <w:rPr>
          <w:rFonts w:ascii="Times New Roman" w:eastAsia="Times New Roman" w:hAnsi="Times New Roman" w:cs="Times New Roman"/>
          <w:b/>
          <w:bCs/>
          <w:sz w:val="24"/>
          <w:szCs w:val="24"/>
          <w:lang w:eastAsia="es-MX"/>
        </w:rPr>
        <w:t>p 8</w:t>
      </w:r>
      <w:r w:rsidRPr="00A348FF">
        <w:rPr>
          <w:rFonts w:ascii="Times New Roman" w:eastAsia="Times New Roman" w:hAnsi="Times New Roman" w:cs="Times New Roman"/>
          <w:sz w:val="24"/>
          <w:szCs w:val="24"/>
          <w:lang w:eastAsia="es-MX"/>
        </w:rPr>
        <w:t xml:space="preserve">. Land costs per unit average </w:t>
      </w:r>
      <w:r w:rsidR="00D302F3" w:rsidRPr="00A348FF">
        <w:rPr>
          <w:rFonts w:ascii="Times New Roman" w:eastAsia="Times New Roman" w:hAnsi="Times New Roman" w:cs="Times New Roman"/>
          <w:b/>
          <w:bCs/>
          <w:sz w:val="24"/>
          <w:szCs w:val="24"/>
          <w:lang w:eastAsia="es-MX"/>
        </w:rPr>
        <w:t>$60,000</w:t>
      </w:r>
      <w:r w:rsidR="00D302F3" w:rsidRPr="00A348FF">
        <w:rPr>
          <w:rFonts w:ascii="Times New Roman" w:eastAsia="Times New Roman" w:hAnsi="Times New Roman" w:cs="Times New Roman"/>
          <w:sz w:val="24"/>
          <w:szCs w:val="24"/>
          <w:lang w:eastAsia="es-MX"/>
        </w:rPr>
        <w:t xml:space="preserve"> </w:t>
      </w:r>
      <w:r w:rsidRPr="00A348FF">
        <w:rPr>
          <w:rFonts w:ascii="Times New Roman" w:eastAsia="Times New Roman" w:hAnsi="Times New Roman" w:cs="Times New Roman"/>
          <w:sz w:val="24"/>
          <w:szCs w:val="24"/>
          <w:lang w:eastAsia="es-MX"/>
        </w:rPr>
        <w:t>for multifamily</w:t>
      </w:r>
    </w:p>
    <w:p w14:paraId="3A1D97DA" w14:textId="77777777" w:rsidR="00FC4654" w:rsidRPr="00A348FF" w:rsidRDefault="00FC4654" w:rsidP="00FC4654">
      <w:pPr>
        <w:spacing w:after="0" w:line="240" w:lineRule="auto"/>
        <w:rPr>
          <w:rFonts w:ascii="Times New Roman" w:eastAsia="Times New Roman" w:hAnsi="Times New Roman" w:cs="Times New Roman"/>
          <w:sz w:val="24"/>
          <w:szCs w:val="24"/>
          <w:lang w:eastAsia="es-MX"/>
        </w:rPr>
      </w:pPr>
    </w:p>
    <w:p w14:paraId="1C57668E" w14:textId="429D47CC" w:rsidR="00FC4654" w:rsidRPr="00A348FF" w:rsidRDefault="00FC4654" w:rsidP="00FC4654">
      <w:pPr>
        <w:spacing w:after="0" w:line="240" w:lineRule="auto"/>
        <w:rPr>
          <w:rFonts w:ascii="Times New Roman" w:eastAsia="Times New Roman" w:hAnsi="Times New Roman" w:cs="Times New Roman"/>
          <w:sz w:val="24"/>
          <w:szCs w:val="24"/>
          <w:lang w:eastAsia="es-MX"/>
        </w:rPr>
      </w:pPr>
      <w:r w:rsidRPr="00A348FF">
        <w:rPr>
          <w:rFonts w:ascii="Times New Roman" w:eastAsia="Times New Roman" w:hAnsi="Times New Roman" w:cs="Times New Roman"/>
          <w:b/>
          <w:bCs/>
          <w:sz w:val="24"/>
          <w:szCs w:val="24"/>
          <w:lang w:eastAsia="es-MX"/>
        </w:rPr>
        <w:t>Hard Costs</w:t>
      </w:r>
      <w:r w:rsidRPr="00A348FF">
        <w:rPr>
          <w:rFonts w:ascii="Times New Roman" w:eastAsia="Times New Roman" w:hAnsi="Times New Roman" w:cs="Times New Roman"/>
          <w:sz w:val="24"/>
          <w:szCs w:val="24"/>
          <w:lang w:eastAsia="es-MX"/>
        </w:rPr>
        <w:t> - The hard costs for </w:t>
      </w:r>
      <w:r w:rsidRPr="00A348FF">
        <w:rPr>
          <w:rFonts w:ascii="Times New Roman" w:eastAsia="Times New Roman" w:hAnsi="Times New Roman" w:cs="Times New Roman"/>
          <w:b/>
          <w:bCs/>
          <w:sz w:val="24"/>
          <w:szCs w:val="24"/>
          <w:lang w:eastAsia="es-MX"/>
        </w:rPr>
        <w:t>single family construction</w:t>
      </w:r>
      <w:r w:rsidRPr="00A348FF">
        <w:rPr>
          <w:rFonts w:ascii="Times New Roman" w:eastAsia="Times New Roman" w:hAnsi="Times New Roman" w:cs="Times New Roman"/>
          <w:sz w:val="24"/>
          <w:szCs w:val="24"/>
          <w:lang w:eastAsia="es-MX"/>
        </w:rPr>
        <w:t> (both a hypothetical 2,600 and 5,000 sf house) are found on </w:t>
      </w:r>
      <w:r w:rsidRPr="00A348FF">
        <w:rPr>
          <w:rFonts w:ascii="Times New Roman" w:eastAsia="Times New Roman" w:hAnsi="Times New Roman" w:cs="Times New Roman"/>
          <w:b/>
          <w:bCs/>
          <w:sz w:val="24"/>
          <w:szCs w:val="24"/>
          <w:lang w:eastAsia="es-MX"/>
        </w:rPr>
        <w:t>p 3</w:t>
      </w:r>
      <w:r w:rsidRPr="00A348FF">
        <w:rPr>
          <w:rFonts w:ascii="Times New Roman" w:eastAsia="Times New Roman" w:hAnsi="Times New Roman" w:cs="Times New Roman"/>
          <w:sz w:val="24"/>
          <w:szCs w:val="24"/>
          <w:lang w:eastAsia="es-MX"/>
        </w:rPr>
        <w:t xml:space="preserve">. Hard costs are around </w:t>
      </w:r>
      <w:r w:rsidR="00D302F3" w:rsidRPr="00A348FF">
        <w:rPr>
          <w:rFonts w:ascii="Times New Roman" w:eastAsia="Times New Roman" w:hAnsi="Times New Roman" w:cs="Times New Roman"/>
          <w:b/>
          <w:bCs/>
          <w:sz w:val="24"/>
          <w:szCs w:val="24"/>
          <w:lang w:eastAsia="es-MX"/>
        </w:rPr>
        <w:t>$420</w:t>
      </w:r>
      <w:r w:rsidR="00D302F3" w:rsidRPr="00A348FF">
        <w:rPr>
          <w:rFonts w:ascii="Times New Roman" w:eastAsia="Times New Roman" w:hAnsi="Times New Roman" w:cs="Times New Roman"/>
          <w:sz w:val="24"/>
          <w:szCs w:val="24"/>
          <w:lang w:eastAsia="es-MX"/>
        </w:rPr>
        <w:t xml:space="preserve"> </w:t>
      </w:r>
      <w:r w:rsidRPr="00A348FF">
        <w:rPr>
          <w:rFonts w:ascii="Times New Roman" w:eastAsia="Times New Roman" w:hAnsi="Times New Roman" w:cs="Times New Roman"/>
          <w:sz w:val="24"/>
          <w:szCs w:val="24"/>
          <w:lang w:eastAsia="es-MX"/>
        </w:rPr>
        <w:t xml:space="preserve">per sq ft and for the smaller prototype and, assuming higher finishes, </w:t>
      </w:r>
      <w:r w:rsidR="00D302F3" w:rsidRPr="00A348FF">
        <w:rPr>
          <w:rFonts w:ascii="Times New Roman" w:eastAsia="Times New Roman" w:hAnsi="Times New Roman" w:cs="Times New Roman"/>
          <w:b/>
          <w:bCs/>
          <w:sz w:val="24"/>
          <w:szCs w:val="24"/>
          <w:lang w:eastAsia="es-MX"/>
        </w:rPr>
        <w:t>$525</w:t>
      </w:r>
      <w:r w:rsidRPr="00A348FF">
        <w:rPr>
          <w:rFonts w:ascii="Times New Roman" w:eastAsia="Times New Roman" w:hAnsi="Times New Roman" w:cs="Times New Roman"/>
          <w:sz w:val="24"/>
          <w:szCs w:val="24"/>
          <w:lang w:eastAsia="es-MX"/>
        </w:rPr>
        <w:t xml:space="preserve"> for large prototype. The hard costs for </w:t>
      </w:r>
      <w:r w:rsidRPr="00A348FF">
        <w:rPr>
          <w:rFonts w:ascii="Times New Roman" w:eastAsia="Times New Roman" w:hAnsi="Times New Roman" w:cs="Times New Roman"/>
          <w:b/>
          <w:bCs/>
          <w:sz w:val="24"/>
          <w:szCs w:val="24"/>
          <w:lang w:eastAsia="es-MX"/>
        </w:rPr>
        <w:t>multi-family construction</w:t>
      </w:r>
      <w:r w:rsidRPr="00A348FF">
        <w:rPr>
          <w:rFonts w:ascii="Times New Roman" w:eastAsia="Times New Roman" w:hAnsi="Times New Roman" w:cs="Times New Roman"/>
          <w:sz w:val="24"/>
          <w:szCs w:val="24"/>
          <w:lang w:eastAsia="es-MX"/>
        </w:rPr>
        <w:t> (both a 10-unit and 100-unit development) are found on </w:t>
      </w:r>
      <w:r w:rsidRPr="00A348FF">
        <w:rPr>
          <w:rFonts w:ascii="Times New Roman" w:eastAsia="Times New Roman" w:hAnsi="Times New Roman" w:cs="Times New Roman"/>
          <w:b/>
          <w:bCs/>
          <w:sz w:val="24"/>
          <w:szCs w:val="24"/>
          <w:lang w:eastAsia="es-MX"/>
        </w:rPr>
        <w:t>p 4</w:t>
      </w:r>
      <w:r w:rsidRPr="00A348FF">
        <w:rPr>
          <w:rFonts w:ascii="Times New Roman" w:eastAsia="Times New Roman" w:hAnsi="Times New Roman" w:cs="Times New Roman"/>
          <w:sz w:val="24"/>
          <w:szCs w:val="24"/>
          <w:lang w:eastAsia="es-MX"/>
        </w:rPr>
        <w:t xml:space="preserve">. Total hard costs per square ft was </w:t>
      </w:r>
      <w:r w:rsidR="00D302F3" w:rsidRPr="00A348FF">
        <w:rPr>
          <w:rFonts w:ascii="Times New Roman" w:eastAsia="Times New Roman" w:hAnsi="Times New Roman" w:cs="Times New Roman"/>
          <w:b/>
          <w:bCs/>
          <w:sz w:val="24"/>
          <w:szCs w:val="24"/>
          <w:lang w:eastAsia="es-MX"/>
        </w:rPr>
        <w:t>$522</w:t>
      </w:r>
      <w:r w:rsidRPr="00A348FF">
        <w:rPr>
          <w:rFonts w:ascii="Times New Roman" w:eastAsia="Times New Roman" w:hAnsi="Times New Roman" w:cs="Times New Roman"/>
          <w:sz w:val="24"/>
          <w:szCs w:val="24"/>
          <w:lang w:eastAsia="es-MX"/>
        </w:rPr>
        <w:t xml:space="preserve"> for small prototype and </w:t>
      </w:r>
      <w:r w:rsidR="00D302F3" w:rsidRPr="00A348FF">
        <w:rPr>
          <w:rFonts w:ascii="Times New Roman" w:eastAsia="Times New Roman" w:hAnsi="Times New Roman" w:cs="Times New Roman"/>
          <w:b/>
          <w:bCs/>
          <w:sz w:val="24"/>
          <w:szCs w:val="24"/>
          <w:lang w:eastAsia="es-MX"/>
        </w:rPr>
        <w:t>$517</w:t>
      </w:r>
      <w:r w:rsidR="00D302F3" w:rsidRPr="00A348FF">
        <w:rPr>
          <w:rFonts w:ascii="Times New Roman" w:eastAsia="Times New Roman" w:hAnsi="Times New Roman" w:cs="Times New Roman"/>
          <w:sz w:val="24"/>
          <w:szCs w:val="24"/>
          <w:lang w:eastAsia="es-MX"/>
        </w:rPr>
        <w:t xml:space="preserve"> </w:t>
      </w:r>
      <w:r w:rsidRPr="00A348FF">
        <w:rPr>
          <w:rFonts w:ascii="Times New Roman" w:eastAsia="Times New Roman" w:hAnsi="Times New Roman" w:cs="Times New Roman"/>
          <w:sz w:val="24"/>
          <w:szCs w:val="24"/>
          <w:lang w:eastAsia="es-MX"/>
        </w:rPr>
        <w:t>for large</w:t>
      </w:r>
    </w:p>
    <w:p w14:paraId="60061FB0" w14:textId="77777777" w:rsidR="00FC4654" w:rsidRPr="00A348FF" w:rsidRDefault="00FC4654" w:rsidP="00FC4654">
      <w:pPr>
        <w:spacing w:after="0" w:line="240" w:lineRule="auto"/>
        <w:rPr>
          <w:rFonts w:ascii="Times New Roman" w:eastAsia="Times New Roman" w:hAnsi="Times New Roman" w:cs="Times New Roman"/>
          <w:sz w:val="24"/>
          <w:szCs w:val="24"/>
          <w:lang w:eastAsia="es-MX"/>
        </w:rPr>
      </w:pPr>
    </w:p>
    <w:p w14:paraId="65FA956D" w14:textId="77FF8F90" w:rsidR="00FC4654" w:rsidRPr="00FC4654" w:rsidRDefault="00FC4654" w:rsidP="00FC4654">
      <w:pPr>
        <w:spacing w:after="0" w:line="240" w:lineRule="auto"/>
        <w:rPr>
          <w:rFonts w:ascii="Times New Roman" w:eastAsia="Times New Roman" w:hAnsi="Times New Roman" w:cs="Times New Roman"/>
          <w:sz w:val="24"/>
          <w:szCs w:val="24"/>
          <w:lang w:eastAsia="es-MX"/>
        </w:rPr>
      </w:pPr>
      <w:r w:rsidRPr="00A348FF">
        <w:rPr>
          <w:rFonts w:ascii="Times New Roman" w:eastAsia="Times New Roman" w:hAnsi="Times New Roman" w:cs="Times New Roman"/>
          <w:b/>
          <w:bCs/>
          <w:sz w:val="24"/>
          <w:szCs w:val="24"/>
          <w:lang w:eastAsia="es-MX"/>
        </w:rPr>
        <w:t>Soft Costs</w:t>
      </w:r>
      <w:r w:rsidRPr="00A348FF">
        <w:rPr>
          <w:rFonts w:ascii="Times New Roman" w:eastAsia="Times New Roman" w:hAnsi="Times New Roman" w:cs="Times New Roman"/>
          <w:sz w:val="24"/>
          <w:szCs w:val="24"/>
          <w:lang w:eastAsia="es-MX"/>
        </w:rPr>
        <w:t> - Soft costs are generally assumed to be around 30% of hard costs (plus 5% contingency) - those numbers are found on</w:t>
      </w:r>
      <w:r w:rsidRPr="00A348FF">
        <w:rPr>
          <w:rFonts w:ascii="Times New Roman" w:eastAsia="Times New Roman" w:hAnsi="Times New Roman" w:cs="Times New Roman"/>
          <w:b/>
          <w:bCs/>
          <w:sz w:val="24"/>
          <w:szCs w:val="24"/>
          <w:lang w:eastAsia="es-MX"/>
        </w:rPr>
        <w:t> p 3 for single family</w:t>
      </w:r>
      <w:r w:rsidRPr="00A348FF">
        <w:rPr>
          <w:rFonts w:ascii="Times New Roman" w:eastAsia="Times New Roman" w:hAnsi="Times New Roman" w:cs="Times New Roman"/>
          <w:sz w:val="24"/>
          <w:szCs w:val="24"/>
          <w:lang w:eastAsia="es-MX"/>
        </w:rPr>
        <w:t> construction and </w:t>
      </w:r>
      <w:r w:rsidRPr="00A348FF">
        <w:rPr>
          <w:rFonts w:ascii="Times New Roman" w:eastAsia="Times New Roman" w:hAnsi="Times New Roman" w:cs="Times New Roman"/>
          <w:b/>
          <w:bCs/>
          <w:sz w:val="24"/>
          <w:szCs w:val="24"/>
          <w:lang w:eastAsia="es-MX"/>
        </w:rPr>
        <w:t>p 4 for multi-family</w:t>
      </w:r>
      <w:r w:rsidRPr="00A348FF">
        <w:rPr>
          <w:rFonts w:ascii="Times New Roman" w:eastAsia="Times New Roman" w:hAnsi="Times New Roman" w:cs="Times New Roman"/>
          <w:sz w:val="24"/>
          <w:szCs w:val="24"/>
          <w:lang w:eastAsia="es-MX"/>
        </w:rPr>
        <w:t xml:space="preserve">. Generally </w:t>
      </w:r>
      <w:proofErr w:type="gramStart"/>
      <w:r w:rsidRPr="00A348FF">
        <w:rPr>
          <w:rFonts w:ascii="Times New Roman" w:eastAsia="Times New Roman" w:hAnsi="Times New Roman" w:cs="Times New Roman"/>
          <w:sz w:val="24"/>
          <w:szCs w:val="24"/>
          <w:lang w:eastAsia="es-MX"/>
        </w:rPr>
        <w:t>single family</w:t>
      </w:r>
      <w:proofErr w:type="gramEnd"/>
      <w:r w:rsidRPr="00A348FF">
        <w:rPr>
          <w:rFonts w:ascii="Times New Roman" w:eastAsia="Times New Roman" w:hAnsi="Times New Roman" w:cs="Times New Roman"/>
          <w:sz w:val="24"/>
          <w:szCs w:val="24"/>
          <w:lang w:eastAsia="es-MX"/>
        </w:rPr>
        <w:t xml:space="preserve"> soft costs were </w:t>
      </w:r>
      <w:r w:rsidRPr="00A348FF">
        <w:rPr>
          <w:rFonts w:ascii="Times New Roman" w:eastAsia="Times New Roman" w:hAnsi="Times New Roman" w:cs="Times New Roman"/>
          <w:b/>
          <w:bCs/>
          <w:sz w:val="24"/>
          <w:szCs w:val="24"/>
          <w:lang w:eastAsia="es-MX"/>
        </w:rPr>
        <w:t>$</w:t>
      </w:r>
      <w:r w:rsidR="00D3076D" w:rsidRPr="00A348FF">
        <w:rPr>
          <w:rFonts w:ascii="Times New Roman" w:eastAsia="Times New Roman" w:hAnsi="Times New Roman" w:cs="Times New Roman"/>
          <w:b/>
          <w:bCs/>
          <w:sz w:val="24"/>
          <w:szCs w:val="24"/>
          <w:lang w:eastAsia="es-MX"/>
        </w:rPr>
        <w:t>133</w:t>
      </w:r>
      <w:r w:rsidRPr="00A348FF">
        <w:rPr>
          <w:rFonts w:ascii="Times New Roman" w:eastAsia="Times New Roman" w:hAnsi="Times New Roman" w:cs="Times New Roman"/>
          <w:sz w:val="24"/>
          <w:szCs w:val="24"/>
          <w:lang w:eastAsia="es-MX"/>
        </w:rPr>
        <w:t xml:space="preserve"> per sq ft for small and </w:t>
      </w:r>
      <w:r w:rsidRPr="00A348FF">
        <w:rPr>
          <w:rFonts w:ascii="Times New Roman" w:eastAsia="Times New Roman" w:hAnsi="Times New Roman" w:cs="Times New Roman"/>
          <w:b/>
          <w:bCs/>
          <w:sz w:val="24"/>
          <w:szCs w:val="24"/>
          <w:lang w:eastAsia="es-MX"/>
        </w:rPr>
        <w:t>$</w:t>
      </w:r>
      <w:r w:rsidR="00D3076D" w:rsidRPr="00A348FF">
        <w:rPr>
          <w:rFonts w:ascii="Times New Roman" w:eastAsia="Times New Roman" w:hAnsi="Times New Roman" w:cs="Times New Roman"/>
          <w:b/>
          <w:bCs/>
          <w:sz w:val="24"/>
          <w:szCs w:val="24"/>
          <w:lang w:eastAsia="es-MX"/>
        </w:rPr>
        <w:t>147</w:t>
      </w:r>
      <w:r w:rsidRPr="00A348FF">
        <w:rPr>
          <w:rFonts w:ascii="Times New Roman" w:eastAsia="Times New Roman" w:hAnsi="Times New Roman" w:cs="Times New Roman"/>
          <w:sz w:val="24"/>
          <w:szCs w:val="24"/>
          <w:lang w:eastAsia="es-MX"/>
        </w:rPr>
        <w:t xml:space="preserve"> for large. Multifamily costs </w:t>
      </w:r>
      <w:r w:rsidRPr="00A348FF">
        <w:rPr>
          <w:rFonts w:ascii="Times New Roman" w:eastAsia="Times New Roman" w:hAnsi="Times New Roman" w:cs="Times New Roman"/>
          <w:b/>
          <w:bCs/>
          <w:sz w:val="24"/>
          <w:szCs w:val="24"/>
          <w:lang w:eastAsia="es-MX"/>
        </w:rPr>
        <w:t>$</w:t>
      </w:r>
      <w:r w:rsidR="00D3076D" w:rsidRPr="00A348FF">
        <w:rPr>
          <w:rFonts w:ascii="Times New Roman" w:eastAsia="Times New Roman" w:hAnsi="Times New Roman" w:cs="Times New Roman"/>
          <w:b/>
          <w:bCs/>
          <w:sz w:val="24"/>
          <w:szCs w:val="24"/>
          <w:lang w:eastAsia="es-MX"/>
        </w:rPr>
        <w:t>165</w:t>
      </w:r>
      <w:r w:rsidR="00D3076D" w:rsidRPr="00A348FF">
        <w:rPr>
          <w:rFonts w:ascii="Times New Roman" w:eastAsia="Times New Roman" w:hAnsi="Times New Roman" w:cs="Times New Roman"/>
          <w:sz w:val="24"/>
          <w:szCs w:val="24"/>
          <w:lang w:eastAsia="es-MX"/>
        </w:rPr>
        <w:t xml:space="preserve"> </w:t>
      </w:r>
      <w:r w:rsidRPr="00A348FF">
        <w:rPr>
          <w:rFonts w:ascii="Times New Roman" w:eastAsia="Times New Roman" w:hAnsi="Times New Roman" w:cs="Times New Roman"/>
          <w:sz w:val="24"/>
          <w:szCs w:val="24"/>
          <w:lang w:eastAsia="es-MX"/>
        </w:rPr>
        <w:t xml:space="preserve">and </w:t>
      </w:r>
      <w:r w:rsidR="00D3076D" w:rsidRPr="00A348FF">
        <w:rPr>
          <w:rFonts w:ascii="Times New Roman" w:eastAsia="Times New Roman" w:hAnsi="Times New Roman" w:cs="Times New Roman"/>
          <w:b/>
          <w:bCs/>
          <w:sz w:val="24"/>
          <w:szCs w:val="24"/>
          <w:lang w:eastAsia="es-MX"/>
        </w:rPr>
        <w:t>$159</w:t>
      </w:r>
    </w:p>
    <w:p w14:paraId="5943656A" w14:textId="77777777" w:rsidR="00FC4654" w:rsidRPr="00FC4654" w:rsidRDefault="00FC4654" w:rsidP="00FC4654">
      <w:pPr>
        <w:spacing w:after="0" w:line="240" w:lineRule="auto"/>
        <w:rPr>
          <w:rFonts w:ascii="Times New Roman" w:eastAsia="Times New Roman" w:hAnsi="Times New Roman" w:cs="Times New Roman"/>
          <w:sz w:val="24"/>
          <w:szCs w:val="24"/>
          <w:lang w:eastAsia="es-MX"/>
        </w:rPr>
      </w:pPr>
      <w:r w:rsidRPr="00FC4654">
        <w:rPr>
          <w:rFonts w:ascii="Times New Roman" w:eastAsia="Times New Roman" w:hAnsi="Times New Roman" w:cs="Times New Roman"/>
          <w:sz w:val="24"/>
          <w:szCs w:val="24"/>
          <w:lang w:eastAsia="es-MX"/>
        </w:rPr>
        <w:br w:type="textWrapping" w:clear="all"/>
      </w:r>
    </w:p>
    <w:p w14:paraId="09968627" w14:textId="77777777" w:rsidR="00FC4654" w:rsidRPr="00FC4654" w:rsidRDefault="00FC4654" w:rsidP="00FC4654">
      <w:pPr>
        <w:spacing w:after="0" w:line="240" w:lineRule="auto"/>
        <w:rPr>
          <w:rFonts w:ascii="Times New Roman" w:eastAsia="Times New Roman" w:hAnsi="Times New Roman" w:cs="Times New Roman"/>
          <w:sz w:val="24"/>
          <w:szCs w:val="24"/>
          <w:lang w:eastAsia="es-MX"/>
        </w:rPr>
      </w:pPr>
      <w:r w:rsidRPr="00FC4654">
        <w:rPr>
          <w:rFonts w:ascii="Times New Roman" w:eastAsia="Times New Roman" w:hAnsi="Times New Roman" w:cs="Times New Roman"/>
          <w:b/>
          <w:bCs/>
          <w:sz w:val="24"/>
          <w:szCs w:val="24"/>
          <w:lang w:eastAsia="es-MX"/>
        </w:rPr>
        <w:t>Total Development Costs</w:t>
      </w:r>
      <w:r w:rsidRPr="00FC4654">
        <w:rPr>
          <w:rFonts w:ascii="Times New Roman" w:eastAsia="Times New Roman" w:hAnsi="Times New Roman" w:cs="Times New Roman"/>
          <w:sz w:val="24"/>
          <w:szCs w:val="24"/>
          <w:lang w:eastAsia="es-MX"/>
        </w:rPr>
        <w:t> (Land + Hard + Soft Costs) - are outlined on the tables on</w:t>
      </w:r>
      <w:r w:rsidRPr="00FC4654">
        <w:rPr>
          <w:rFonts w:ascii="Times New Roman" w:eastAsia="Times New Roman" w:hAnsi="Times New Roman" w:cs="Times New Roman"/>
          <w:b/>
          <w:bCs/>
          <w:sz w:val="24"/>
          <w:szCs w:val="24"/>
          <w:lang w:eastAsia="es-MX"/>
        </w:rPr>
        <w:t> pages 3 and 4</w:t>
      </w:r>
      <w:r w:rsidRPr="00FC4654">
        <w:rPr>
          <w:rFonts w:ascii="Times New Roman" w:eastAsia="Times New Roman" w:hAnsi="Times New Roman" w:cs="Times New Roman"/>
          <w:sz w:val="24"/>
          <w:szCs w:val="24"/>
          <w:lang w:eastAsia="es-MX"/>
        </w:rPr>
        <w:t>. </w:t>
      </w:r>
    </w:p>
    <w:p w14:paraId="6EA53632" w14:textId="77777777" w:rsidR="00FC4654" w:rsidRPr="00FC4654" w:rsidRDefault="00FC4654" w:rsidP="00FC4654">
      <w:pPr>
        <w:spacing w:after="0" w:line="240" w:lineRule="auto"/>
        <w:rPr>
          <w:rFonts w:ascii="Times New Roman" w:eastAsia="Times New Roman" w:hAnsi="Times New Roman" w:cs="Times New Roman"/>
          <w:sz w:val="24"/>
          <w:szCs w:val="24"/>
          <w:lang w:eastAsia="es-MX"/>
        </w:rPr>
      </w:pPr>
    </w:p>
    <w:p w14:paraId="531D0690" w14:textId="77777777" w:rsidR="00FC4654" w:rsidRPr="00FC4654" w:rsidRDefault="00FC4654" w:rsidP="00FC4654">
      <w:pPr>
        <w:spacing w:after="0" w:line="240" w:lineRule="auto"/>
        <w:rPr>
          <w:rFonts w:ascii="Times New Roman" w:eastAsia="Times New Roman" w:hAnsi="Times New Roman" w:cs="Times New Roman"/>
          <w:sz w:val="24"/>
          <w:szCs w:val="24"/>
          <w:lang w:eastAsia="es-MX"/>
        </w:rPr>
      </w:pPr>
      <w:r w:rsidRPr="00FC4654">
        <w:rPr>
          <w:rFonts w:ascii="Times New Roman" w:eastAsia="Times New Roman" w:hAnsi="Times New Roman" w:cs="Times New Roman"/>
          <w:b/>
          <w:bCs/>
          <w:sz w:val="27"/>
          <w:szCs w:val="27"/>
          <w:lang w:eastAsia="es-MX"/>
        </w:rPr>
        <w:t>Jurisdiction Fees</w:t>
      </w:r>
      <w:r w:rsidRPr="00FC4654">
        <w:rPr>
          <w:rFonts w:ascii="Times New Roman" w:eastAsia="Times New Roman" w:hAnsi="Times New Roman" w:cs="Times New Roman"/>
          <w:sz w:val="27"/>
          <w:szCs w:val="27"/>
          <w:lang w:eastAsia="es-MX"/>
        </w:rPr>
        <w:t> </w:t>
      </w:r>
    </w:p>
    <w:p w14:paraId="1B919975" w14:textId="77777777" w:rsidR="00FC4654" w:rsidRPr="00FC4654" w:rsidRDefault="00FC4654" w:rsidP="00FC4654">
      <w:pPr>
        <w:spacing w:after="0" w:line="240" w:lineRule="auto"/>
        <w:rPr>
          <w:rFonts w:ascii="Times New Roman" w:eastAsia="Times New Roman" w:hAnsi="Times New Roman" w:cs="Times New Roman"/>
          <w:sz w:val="24"/>
          <w:szCs w:val="24"/>
          <w:lang w:eastAsia="es-MX"/>
        </w:rPr>
      </w:pPr>
    </w:p>
    <w:p w14:paraId="3BB8DA7F" w14:textId="77777777" w:rsidR="00FC4654" w:rsidRPr="00FC4654" w:rsidRDefault="00FC4654" w:rsidP="00FC4654">
      <w:pPr>
        <w:spacing w:after="0" w:line="240" w:lineRule="auto"/>
        <w:rPr>
          <w:rFonts w:ascii="Times New Roman" w:eastAsia="Times New Roman" w:hAnsi="Times New Roman" w:cs="Times New Roman"/>
          <w:sz w:val="24"/>
          <w:szCs w:val="24"/>
          <w:lang w:eastAsia="es-MX"/>
        </w:rPr>
      </w:pPr>
      <w:r w:rsidRPr="00FC4654">
        <w:rPr>
          <w:rFonts w:ascii="Times New Roman" w:eastAsia="Times New Roman" w:hAnsi="Times New Roman" w:cs="Times New Roman"/>
          <w:sz w:val="24"/>
          <w:szCs w:val="24"/>
          <w:lang w:eastAsia="es-MX"/>
        </w:rPr>
        <w:t>Jurisdiction fees (entitlement fees, building permits, impact fees) contribute to the overall cost of development. We've broken them out because we have more granular data for each jurisdiction that responded to the 21 Elements Fee Survey. </w:t>
      </w:r>
    </w:p>
    <w:p w14:paraId="3DA30E6E" w14:textId="77777777" w:rsidR="00FC4654" w:rsidRPr="00FC4654" w:rsidRDefault="00FC4654" w:rsidP="00FC4654">
      <w:pPr>
        <w:spacing w:after="0" w:line="240" w:lineRule="auto"/>
        <w:rPr>
          <w:rFonts w:ascii="Times New Roman" w:eastAsia="Times New Roman" w:hAnsi="Times New Roman" w:cs="Times New Roman"/>
          <w:sz w:val="24"/>
          <w:szCs w:val="24"/>
          <w:lang w:eastAsia="es-MX"/>
        </w:rPr>
      </w:pPr>
    </w:p>
    <w:p w14:paraId="083F6F38" w14:textId="77777777" w:rsidR="00D3076D" w:rsidRDefault="00D3076D" w:rsidP="00FC4654">
      <w:pPr>
        <w:spacing w:after="0" w:line="240" w:lineRule="auto"/>
        <w:rPr>
          <w:rFonts w:ascii="Times New Roman" w:eastAsia="Times New Roman" w:hAnsi="Times New Roman" w:cs="Times New Roman"/>
          <w:b/>
          <w:bCs/>
          <w:sz w:val="24"/>
          <w:szCs w:val="24"/>
          <w:lang w:eastAsia="es-MX"/>
        </w:rPr>
      </w:pPr>
    </w:p>
    <w:p w14:paraId="314EBF7E" w14:textId="77777777" w:rsidR="00D3076D" w:rsidRDefault="00D3076D" w:rsidP="00FC4654">
      <w:pPr>
        <w:spacing w:after="0" w:line="240" w:lineRule="auto"/>
        <w:rPr>
          <w:rFonts w:ascii="Times New Roman" w:eastAsia="Times New Roman" w:hAnsi="Times New Roman" w:cs="Times New Roman"/>
          <w:b/>
          <w:bCs/>
          <w:sz w:val="24"/>
          <w:szCs w:val="24"/>
          <w:lang w:eastAsia="es-MX"/>
        </w:rPr>
      </w:pPr>
    </w:p>
    <w:p w14:paraId="336D7910" w14:textId="049A5F82" w:rsidR="00FC4654" w:rsidRPr="00FC4654" w:rsidRDefault="00FC4654" w:rsidP="00FC4654">
      <w:pPr>
        <w:spacing w:after="0" w:line="240" w:lineRule="auto"/>
        <w:rPr>
          <w:rFonts w:ascii="Times New Roman" w:eastAsia="Times New Roman" w:hAnsi="Times New Roman" w:cs="Times New Roman"/>
          <w:sz w:val="24"/>
          <w:szCs w:val="24"/>
          <w:lang w:eastAsia="es-MX"/>
        </w:rPr>
      </w:pPr>
      <w:r w:rsidRPr="00FC4654">
        <w:rPr>
          <w:rFonts w:ascii="Times New Roman" w:eastAsia="Times New Roman" w:hAnsi="Times New Roman" w:cs="Times New Roman"/>
          <w:b/>
          <w:bCs/>
          <w:sz w:val="24"/>
          <w:szCs w:val="24"/>
          <w:lang w:eastAsia="es-MX"/>
        </w:rPr>
        <w:t>Total Fees (includes entitlement, building permits, and impact fees) per Unit </w:t>
      </w:r>
    </w:p>
    <w:p w14:paraId="09CA3242" w14:textId="77777777" w:rsidR="00FC4654" w:rsidRPr="00FC4654" w:rsidRDefault="00FC4654" w:rsidP="00FC4654">
      <w:pPr>
        <w:spacing w:after="0" w:line="240" w:lineRule="auto"/>
        <w:rPr>
          <w:rFonts w:ascii="Times New Roman" w:eastAsia="Times New Roman" w:hAnsi="Times New Roman" w:cs="Times New Roman"/>
          <w:sz w:val="24"/>
          <w:szCs w:val="24"/>
          <w:lang w:eastAsia="es-MX"/>
        </w:rPr>
      </w:pPr>
    </w:p>
    <w:tbl>
      <w:tblPr>
        <w:tblStyle w:val="TableGrid"/>
        <w:tblW w:w="0" w:type="auto"/>
        <w:tblLook w:val="04A0" w:firstRow="1" w:lastRow="0" w:firstColumn="1" w:lastColumn="0" w:noHBand="0" w:noVBand="1"/>
      </w:tblPr>
      <w:tblGrid>
        <w:gridCol w:w="2139"/>
        <w:gridCol w:w="1840"/>
        <w:gridCol w:w="2160"/>
        <w:gridCol w:w="2160"/>
      </w:tblGrid>
      <w:tr w:rsidR="00D3076D" w:rsidRPr="00D3076D" w14:paraId="2DAAE10B" w14:textId="77777777" w:rsidTr="00D3076D">
        <w:trPr>
          <w:trHeight w:val="290"/>
        </w:trPr>
        <w:tc>
          <w:tcPr>
            <w:tcW w:w="2139" w:type="dxa"/>
            <w:noWrap/>
            <w:hideMark/>
          </w:tcPr>
          <w:p w14:paraId="5DAA5F6E" w14:textId="77777777" w:rsidR="00D3076D" w:rsidRPr="00D3076D" w:rsidRDefault="00D3076D" w:rsidP="00D3076D">
            <w:pPr>
              <w:rPr>
                <w:rFonts w:ascii="Times New Roman" w:eastAsia="Times New Roman" w:hAnsi="Times New Roman" w:cs="Times New Roman"/>
                <w:b/>
                <w:bCs/>
                <w:sz w:val="24"/>
                <w:szCs w:val="24"/>
                <w:lang w:eastAsia="es-MX"/>
              </w:rPr>
            </w:pPr>
            <w:r w:rsidRPr="00D3076D">
              <w:rPr>
                <w:rFonts w:ascii="Times New Roman" w:eastAsia="Times New Roman" w:hAnsi="Times New Roman" w:cs="Times New Roman"/>
                <w:b/>
                <w:bCs/>
                <w:sz w:val="24"/>
                <w:szCs w:val="24"/>
                <w:lang w:eastAsia="es-MX"/>
              </w:rPr>
              <w:t>Jurisdiction</w:t>
            </w:r>
          </w:p>
        </w:tc>
        <w:tc>
          <w:tcPr>
            <w:tcW w:w="1840" w:type="dxa"/>
            <w:noWrap/>
            <w:hideMark/>
          </w:tcPr>
          <w:p w14:paraId="6C1BF113" w14:textId="77777777" w:rsidR="00D3076D" w:rsidRPr="00D3076D" w:rsidRDefault="00D3076D" w:rsidP="00D3076D">
            <w:pPr>
              <w:rPr>
                <w:rFonts w:ascii="Times New Roman" w:eastAsia="Times New Roman" w:hAnsi="Times New Roman" w:cs="Times New Roman"/>
                <w:b/>
                <w:bCs/>
                <w:sz w:val="24"/>
                <w:szCs w:val="24"/>
                <w:lang w:eastAsia="es-MX"/>
              </w:rPr>
            </w:pPr>
            <w:r w:rsidRPr="00D3076D">
              <w:rPr>
                <w:rFonts w:ascii="Times New Roman" w:eastAsia="Times New Roman" w:hAnsi="Times New Roman" w:cs="Times New Roman"/>
                <w:b/>
                <w:bCs/>
                <w:sz w:val="24"/>
                <w:szCs w:val="24"/>
                <w:lang w:eastAsia="es-MX"/>
              </w:rPr>
              <w:t>Single Family</w:t>
            </w:r>
          </w:p>
        </w:tc>
        <w:tc>
          <w:tcPr>
            <w:tcW w:w="2160" w:type="dxa"/>
            <w:noWrap/>
            <w:hideMark/>
          </w:tcPr>
          <w:p w14:paraId="06FC583F" w14:textId="77777777" w:rsidR="00D3076D" w:rsidRPr="00D3076D" w:rsidRDefault="00D3076D" w:rsidP="00D3076D">
            <w:pPr>
              <w:rPr>
                <w:rFonts w:ascii="Times New Roman" w:eastAsia="Times New Roman" w:hAnsi="Times New Roman" w:cs="Times New Roman"/>
                <w:b/>
                <w:bCs/>
                <w:sz w:val="24"/>
                <w:szCs w:val="24"/>
                <w:lang w:eastAsia="es-MX"/>
              </w:rPr>
            </w:pPr>
            <w:r w:rsidRPr="00D3076D">
              <w:rPr>
                <w:rFonts w:ascii="Times New Roman" w:eastAsia="Times New Roman" w:hAnsi="Times New Roman" w:cs="Times New Roman"/>
                <w:b/>
                <w:bCs/>
                <w:sz w:val="24"/>
                <w:szCs w:val="24"/>
                <w:lang w:eastAsia="es-MX"/>
              </w:rPr>
              <w:t>Small Multi-Family</w:t>
            </w:r>
          </w:p>
        </w:tc>
        <w:tc>
          <w:tcPr>
            <w:tcW w:w="2160" w:type="dxa"/>
            <w:noWrap/>
            <w:hideMark/>
          </w:tcPr>
          <w:p w14:paraId="19D2238F" w14:textId="77777777" w:rsidR="00D3076D" w:rsidRPr="00D3076D" w:rsidRDefault="00D3076D" w:rsidP="00D3076D">
            <w:pPr>
              <w:rPr>
                <w:rFonts w:ascii="Times New Roman" w:eastAsia="Times New Roman" w:hAnsi="Times New Roman" w:cs="Times New Roman"/>
                <w:b/>
                <w:bCs/>
                <w:sz w:val="24"/>
                <w:szCs w:val="24"/>
                <w:lang w:eastAsia="es-MX"/>
              </w:rPr>
            </w:pPr>
            <w:r w:rsidRPr="00D3076D">
              <w:rPr>
                <w:rFonts w:ascii="Times New Roman" w:eastAsia="Times New Roman" w:hAnsi="Times New Roman" w:cs="Times New Roman"/>
                <w:b/>
                <w:bCs/>
                <w:sz w:val="24"/>
                <w:szCs w:val="24"/>
                <w:lang w:eastAsia="es-MX"/>
              </w:rPr>
              <w:t>Large Multi-Family</w:t>
            </w:r>
          </w:p>
        </w:tc>
      </w:tr>
      <w:tr w:rsidR="00D3076D" w:rsidRPr="00D3076D" w14:paraId="687F4C06" w14:textId="77777777" w:rsidTr="00D3076D">
        <w:trPr>
          <w:trHeight w:val="290"/>
        </w:trPr>
        <w:tc>
          <w:tcPr>
            <w:tcW w:w="2139" w:type="dxa"/>
            <w:noWrap/>
            <w:hideMark/>
          </w:tcPr>
          <w:p w14:paraId="0F883066"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Campbell</w:t>
            </w:r>
          </w:p>
        </w:tc>
        <w:tc>
          <w:tcPr>
            <w:tcW w:w="1840" w:type="dxa"/>
            <w:noWrap/>
            <w:hideMark/>
          </w:tcPr>
          <w:p w14:paraId="76B584E1"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$72,556</w:t>
            </w:r>
          </w:p>
        </w:tc>
        <w:tc>
          <w:tcPr>
            <w:tcW w:w="2160" w:type="dxa"/>
            <w:noWrap/>
            <w:hideMark/>
          </w:tcPr>
          <w:p w14:paraId="2CB7A50C"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$20,599</w:t>
            </w:r>
          </w:p>
        </w:tc>
        <w:tc>
          <w:tcPr>
            <w:tcW w:w="2160" w:type="dxa"/>
            <w:noWrap/>
            <w:hideMark/>
          </w:tcPr>
          <w:p w14:paraId="1C439A33"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$18,541</w:t>
            </w:r>
          </w:p>
        </w:tc>
      </w:tr>
      <w:tr w:rsidR="00D3076D" w:rsidRPr="00D3076D" w14:paraId="46034267" w14:textId="77777777" w:rsidTr="00D3076D">
        <w:trPr>
          <w:trHeight w:val="290"/>
        </w:trPr>
        <w:tc>
          <w:tcPr>
            <w:tcW w:w="2139" w:type="dxa"/>
            <w:noWrap/>
            <w:hideMark/>
          </w:tcPr>
          <w:p w14:paraId="7694768A"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Cupertino</w:t>
            </w:r>
          </w:p>
        </w:tc>
        <w:tc>
          <w:tcPr>
            <w:tcW w:w="1840" w:type="dxa"/>
            <w:noWrap/>
            <w:hideMark/>
          </w:tcPr>
          <w:p w14:paraId="38948FB5"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$136,596</w:t>
            </w:r>
          </w:p>
        </w:tc>
        <w:tc>
          <w:tcPr>
            <w:tcW w:w="2160" w:type="dxa"/>
            <w:noWrap/>
            <w:hideMark/>
          </w:tcPr>
          <w:p w14:paraId="3659EB18"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$77,770</w:t>
            </w:r>
          </w:p>
        </w:tc>
        <w:tc>
          <w:tcPr>
            <w:tcW w:w="2160" w:type="dxa"/>
            <w:noWrap/>
            <w:hideMark/>
          </w:tcPr>
          <w:p w14:paraId="329CD77A"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$73,959</w:t>
            </w:r>
          </w:p>
        </w:tc>
      </w:tr>
      <w:tr w:rsidR="00D3076D" w:rsidRPr="00D3076D" w14:paraId="5619FB7D" w14:textId="77777777" w:rsidTr="00D3076D">
        <w:trPr>
          <w:trHeight w:val="290"/>
        </w:trPr>
        <w:tc>
          <w:tcPr>
            <w:tcW w:w="2139" w:type="dxa"/>
            <w:noWrap/>
            <w:hideMark/>
          </w:tcPr>
          <w:p w14:paraId="06175684"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Gilroy</w:t>
            </w:r>
          </w:p>
        </w:tc>
        <w:tc>
          <w:tcPr>
            <w:tcW w:w="1840" w:type="dxa"/>
            <w:noWrap/>
            <w:hideMark/>
          </w:tcPr>
          <w:p w14:paraId="485ECB69"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$69,219</w:t>
            </w:r>
          </w:p>
        </w:tc>
        <w:tc>
          <w:tcPr>
            <w:tcW w:w="2160" w:type="dxa"/>
            <w:noWrap/>
            <w:hideMark/>
          </w:tcPr>
          <w:p w14:paraId="77AE6397"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$40,195</w:t>
            </w:r>
          </w:p>
        </w:tc>
        <w:tc>
          <w:tcPr>
            <w:tcW w:w="2160" w:type="dxa"/>
            <w:noWrap/>
            <w:hideMark/>
          </w:tcPr>
          <w:p w14:paraId="782F9FFF"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$39,135</w:t>
            </w:r>
          </w:p>
        </w:tc>
      </w:tr>
      <w:tr w:rsidR="00D3076D" w:rsidRPr="00D3076D" w14:paraId="4D6EBC5C" w14:textId="77777777" w:rsidTr="00D3076D">
        <w:trPr>
          <w:trHeight w:val="290"/>
        </w:trPr>
        <w:tc>
          <w:tcPr>
            <w:tcW w:w="2139" w:type="dxa"/>
            <w:noWrap/>
            <w:hideMark/>
          </w:tcPr>
          <w:p w14:paraId="3DD1BC02"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Los Altos Hills</w:t>
            </w:r>
          </w:p>
        </w:tc>
        <w:tc>
          <w:tcPr>
            <w:tcW w:w="1840" w:type="dxa"/>
            <w:noWrap/>
            <w:hideMark/>
          </w:tcPr>
          <w:p w14:paraId="32266B26"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$146,631</w:t>
            </w:r>
          </w:p>
        </w:tc>
        <w:tc>
          <w:tcPr>
            <w:tcW w:w="2160" w:type="dxa"/>
            <w:noWrap/>
            <w:hideMark/>
          </w:tcPr>
          <w:p w14:paraId="06E96328"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N/A</w:t>
            </w:r>
          </w:p>
        </w:tc>
        <w:tc>
          <w:tcPr>
            <w:tcW w:w="2160" w:type="dxa"/>
            <w:noWrap/>
            <w:hideMark/>
          </w:tcPr>
          <w:p w14:paraId="428D9A8C"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N/A</w:t>
            </w:r>
          </w:p>
        </w:tc>
      </w:tr>
      <w:tr w:rsidR="00D3076D" w:rsidRPr="00D3076D" w14:paraId="605F4BA1" w14:textId="77777777" w:rsidTr="00D3076D">
        <w:trPr>
          <w:trHeight w:val="290"/>
        </w:trPr>
        <w:tc>
          <w:tcPr>
            <w:tcW w:w="2139" w:type="dxa"/>
            <w:noWrap/>
            <w:hideMark/>
          </w:tcPr>
          <w:p w14:paraId="2C3CE48C"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Los Gatos</w:t>
            </w:r>
          </w:p>
        </w:tc>
        <w:tc>
          <w:tcPr>
            <w:tcW w:w="1840" w:type="dxa"/>
            <w:noWrap/>
            <w:hideMark/>
          </w:tcPr>
          <w:p w14:paraId="3718A182"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$32,458</w:t>
            </w:r>
          </w:p>
        </w:tc>
        <w:tc>
          <w:tcPr>
            <w:tcW w:w="2160" w:type="dxa"/>
            <w:noWrap/>
            <w:hideMark/>
          </w:tcPr>
          <w:p w14:paraId="46F8B91D"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$5,764</w:t>
            </w:r>
          </w:p>
        </w:tc>
        <w:tc>
          <w:tcPr>
            <w:tcW w:w="2160" w:type="dxa"/>
            <w:noWrap/>
            <w:hideMark/>
          </w:tcPr>
          <w:p w14:paraId="4EE272EA"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$3,269</w:t>
            </w:r>
          </w:p>
        </w:tc>
      </w:tr>
      <w:tr w:rsidR="00D3076D" w:rsidRPr="00D3076D" w14:paraId="134B9848" w14:textId="77777777" w:rsidTr="00D3076D">
        <w:trPr>
          <w:trHeight w:val="290"/>
        </w:trPr>
        <w:tc>
          <w:tcPr>
            <w:tcW w:w="2139" w:type="dxa"/>
            <w:noWrap/>
            <w:hideMark/>
          </w:tcPr>
          <w:p w14:paraId="42E54A69"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Milpitas</w:t>
            </w:r>
          </w:p>
        </w:tc>
        <w:tc>
          <w:tcPr>
            <w:tcW w:w="1840" w:type="dxa"/>
            <w:noWrap/>
            <w:hideMark/>
          </w:tcPr>
          <w:p w14:paraId="71647FB3"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$77,198</w:t>
            </w:r>
          </w:p>
        </w:tc>
        <w:tc>
          <w:tcPr>
            <w:tcW w:w="2160" w:type="dxa"/>
            <w:noWrap/>
            <w:hideMark/>
          </w:tcPr>
          <w:p w14:paraId="3783E2E6"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$74,326</w:t>
            </w:r>
          </w:p>
        </w:tc>
        <w:tc>
          <w:tcPr>
            <w:tcW w:w="2160" w:type="dxa"/>
            <w:noWrap/>
            <w:hideMark/>
          </w:tcPr>
          <w:p w14:paraId="59A4688C"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$59,740</w:t>
            </w:r>
          </w:p>
        </w:tc>
      </w:tr>
      <w:tr w:rsidR="00D3076D" w:rsidRPr="00D3076D" w14:paraId="06880F3E" w14:textId="77777777" w:rsidTr="00D3076D">
        <w:trPr>
          <w:trHeight w:val="290"/>
        </w:trPr>
        <w:tc>
          <w:tcPr>
            <w:tcW w:w="2139" w:type="dxa"/>
            <w:noWrap/>
            <w:hideMark/>
          </w:tcPr>
          <w:p w14:paraId="561DB854"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Monte Sereno</w:t>
            </w:r>
          </w:p>
        </w:tc>
        <w:tc>
          <w:tcPr>
            <w:tcW w:w="1840" w:type="dxa"/>
            <w:noWrap/>
            <w:hideMark/>
          </w:tcPr>
          <w:p w14:paraId="4D3554DE"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$33,445</w:t>
            </w:r>
          </w:p>
        </w:tc>
        <w:tc>
          <w:tcPr>
            <w:tcW w:w="2160" w:type="dxa"/>
            <w:noWrap/>
            <w:hideMark/>
          </w:tcPr>
          <w:p w14:paraId="1205A723"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$4,815</w:t>
            </w:r>
          </w:p>
        </w:tc>
        <w:tc>
          <w:tcPr>
            <w:tcW w:w="2160" w:type="dxa"/>
            <w:noWrap/>
            <w:hideMark/>
          </w:tcPr>
          <w:p w14:paraId="7DE99F0F"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$4,156</w:t>
            </w:r>
          </w:p>
        </w:tc>
      </w:tr>
      <w:tr w:rsidR="00D3076D" w:rsidRPr="00D3076D" w14:paraId="097AAD23" w14:textId="77777777" w:rsidTr="00D3076D">
        <w:trPr>
          <w:trHeight w:val="290"/>
        </w:trPr>
        <w:tc>
          <w:tcPr>
            <w:tcW w:w="2139" w:type="dxa"/>
            <w:noWrap/>
            <w:hideMark/>
          </w:tcPr>
          <w:p w14:paraId="2CBD7CB1"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lastRenderedPageBreak/>
              <w:t>Morgan Hill</w:t>
            </w:r>
          </w:p>
        </w:tc>
        <w:tc>
          <w:tcPr>
            <w:tcW w:w="1840" w:type="dxa"/>
            <w:noWrap/>
            <w:hideMark/>
          </w:tcPr>
          <w:p w14:paraId="7C654A7E"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$55,903</w:t>
            </w:r>
          </w:p>
        </w:tc>
        <w:tc>
          <w:tcPr>
            <w:tcW w:w="2160" w:type="dxa"/>
            <w:noWrap/>
            <w:hideMark/>
          </w:tcPr>
          <w:p w14:paraId="54E7CCD1"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$41,374</w:t>
            </w:r>
          </w:p>
        </w:tc>
        <w:tc>
          <w:tcPr>
            <w:tcW w:w="2160" w:type="dxa"/>
            <w:noWrap/>
            <w:hideMark/>
          </w:tcPr>
          <w:p w14:paraId="5BA9504E"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$36,396</w:t>
            </w:r>
          </w:p>
        </w:tc>
      </w:tr>
      <w:tr w:rsidR="00D3076D" w:rsidRPr="00D3076D" w14:paraId="71BBDBFE" w14:textId="77777777" w:rsidTr="00D3076D">
        <w:trPr>
          <w:trHeight w:val="290"/>
        </w:trPr>
        <w:tc>
          <w:tcPr>
            <w:tcW w:w="2139" w:type="dxa"/>
            <w:noWrap/>
            <w:hideMark/>
          </w:tcPr>
          <w:p w14:paraId="4250C14D"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Mountain View</w:t>
            </w:r>
          </w:p>
        </w:tc>
        <w:tc>
          <w:tcPr>
            <w:tcW w:w="1840" w:type="dxa"/>
            <w:noWrap/>
            <w:hideMark/>
          </w:tcPr>
          <w:p w14:paraId="2F14798C"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$90,423</w:t>
            </w:r>
          </w:p>
        </w:tc>
        <w:tc>
          <w:tcPr>
            <w:tcW w:w="2160" w:type="dxa"/>
            <w:noWrap/>
            <w:hideMark/>
          </w:tcPr>
          <w:p w14:paraId="3F87A9C8"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$69,497</w:t>
            </w:r>
          </w:p>
        </w:tc>
        <w:tc>
          <w:tcPr>
            <w:tcW w:w="2160" w:type="dxa"/>
            <w:noWrap/>
            <w:hideMark/>
          </w:tcPr>
          <w:p w14:paraId="528920CB"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$82,591</w:t>
            </w:r>
          </w:p>
        </w:tc>
      </w:tr>
      <w:tr w:rsidR="00D3076D" w:rsidRPr="00D3076D" w14:paraId="1A5A9512" w14:textId="77777777" w:rsidTr="00D3076D">
        <w:trPr>
          <w:trHeight w:val="290"/>
        </w:trPr>
        <w:tc>
          <w:tcPr>
            <w:tcW w:w="2139" w:type="dxa"/>
            <w:noWrap/>
            <w:hideMark/>
          </w:tcPr>
          <w:p w14:paraId="4EF38DB8"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San Jose</w:t>
            </w:r>
          </w:p>
        </w:tc>
        <w:tc>
          <w:tcPr>
            <w:tcW w:w="1840" w:type="dxa"/>
            <w:noWrap/>
            <w:hideMark/>
          </w:tcPr>
          <w:p w14:paraId="70909BCA"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$9,919</w:t>
            </w:r>
          </w:p>
        </w:tc>
        <w:tc>
          <w:tcPr>
            <w:tcW w:w="2160" w:type="dxa"/>
            <w:noWrap/>
            <w:hideMark/>
          </w:tcPr>
          <w:p w14:paraId="76B58D50"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$23,410</w:t>
            </w:r>
          </w:p>
        </w:tc>
        <w:tc>
          <w:tcPr>
            <w:tcW w:w="2160" w:type="dxa"/>
            <w:noWrap/>
            <w:hideMark/>
          </w:tcPr>
          <w:p w14:paraId="2DFB3CDC"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$23,410</w:t>
            </w:r>
          </w:p>
        </w:tc>
      </w:tr>
      <w:tr w:rsidR="00D3076D" w:rsidRPr="00D3076D" w14:paraId="3E4EE563" w14:textId="77777777" w:rsidTr="00D3076D">
        <w:trPr>
          <w:trHeight w:val="290"/>
        </w:trPr>
        <w:tc>
          <w:tcPr>
            <w:tcW w:w="2139" w:type="dxa"/>
            <w:noWrap/>
            <w:hideMark/>
          </w:tcPr>
          <w:p w14:paraId="2015A284"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Santa Clara</w:t>
            </w:r>
          </w:p>
        </w:tc>
        <w:tc>
          <w:tcPr>
            <w:tcW w:w="1840" w:type="dxa"/>
            <w:noWrap/>
            <w:hideMark/>
          </w:tcPr>
          <w:p w14:paraId="790866A9"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$14,653</w:t>
            </w:r>
          </w:p>
        </w:tc>
        <w:tc>
          <w:tcPr>
            <w:tcW w:w="2160" w:type="dxa"/>
            <w:noWrap/>
            <w:hideMark/>
          </w:tcPr>
          <w:p w14:paraId="525750E3"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$6,733</w:t>
            </w:r>
          </w:p>
        </w:tc>
        <w:tc>
          <w:tcPr>
            <w:tcW w:w="2160" w:type="dxa"/>
            <w:noWrap/>
            <w:hideMark/>
          </w:tcPr>
          <w:p w14:paraId="7AC6F917"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$2,156</w:t>
            </w:r>
          </w:p>
        </w:tc>
      </w:tr>
      <w:tr w:rsidR="00D3076D" w:rsidRPr="00D3076D" w14:paraId="66E0469F" w14:textId="77777777" w:rsidTr="00D3076D">
        <w:trPr>
          <w:trHeight w:val="290"/>
        </w:trPr>
        <w:tc>
          <w:tcPr>
            <w:tcW w:w="2139" w:type="dxa"/>
            <w:noWrap/>
            <w:hideMark/>
          </w:tcPr>
          <w:p w14:paraId="73C2CE85"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Saratoga</w:t>
            </w:r>
          </w:p>
        </w:tc>
        <w:tc>
          <w:tcPr>
            <w:tcW w:w="1840" w:type="dxa"/>
            <w:noWrap/>
            <w:hideMark/>
          </w:tcPr>
          <w:p w14:paraId="1379B011"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$64,272</w:t>
            </w:r>
          </w:p>
        </w:tc>
        <w:tc>
          <w:tcPr>
            <w:tcW w:w="2160" w:type="dxa"/>
            <w:noWrap/>
            <w:hideMark/>
          </w:tcPr>
          <w:p w14:paraId="3E643772"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$17,063</w:t>
            </w:r>
          </w:p>
        </w:tc>
        <w:tc>
          <w:tcPr>
            <w:tcW w:w="2160" w:type="dxa"/>
            <w:noWrap/>
            <w:hideMark/>
          </w:tcPr>
          <w:p w14:paraId="25AFDDE4"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$15,391</w:t>
            </w:r>
          </w:p>
        </w:tc>
      </w:tr>
      <w:tr w:rsidR="00D3076D" w:rsidRPr="00D3076D" w14:paraId="73BAEA92" w14:textId="77777777" w:rsidTr="00D3076D">
        <w:trPr>
          <w:trHeight w:val="290"/>
        </w:trPr>
        <w:tc>
          <w:tcPr>
            <w:tcW w:w="2139" w:type="dxa"/>
            <w:noWrap/>
            <w:hideMark/>
          </w:tcPr>
          <w:p w14:paraId="450236F3"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Sunnyvale</w:t>
            </w:r>
          </w:p>
        </w:tc>
        <w:tc>
          <w:tcPr>
            <w:tcW w:w="1840" w:type="dxa"/>
            <w:noWrap/>
            <w:hideMark/>
          </w:tcPr>
          <w:p w14:paraId="0102E56B"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$133,389</w:t>
            </w:r>
          </w:p>
        </w:tc>
        <w:tc>
          <w:tcPr>
            <w:tcW w:w="2160" w:type="dxa"/>
            <w:noWrap/>
            <w:hideMark/>
          </w:tcPr>
          <w:p w14:paraId="6727E4E1"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$126,673</w:t>
            </w:r>
          </w:p>
        </w:tc>
        <w:tc>
          <w:tcPr>
            <w:tcW w:w="2160" w:type="dxa"/>
            <w:noWrap/>
            <w:hideMark/>
          </w:tcPr>
          <w:p w14:paraId="00846FA0"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$98,292</w:t>
            </w:r>
          </w:p>
        </w:tc>
      </w:tr>
      <w:tr w:rsidR="00D3076D" w:rsidRPr="00D3076D" w14:paraId="2F10044F" w14:textId="77777777" w:rsidTr="00D3076D">
        <w:trPr>
          <w:trHeight w:val="290"/>
        </w:trPr>
        <w:tc>
          <w:tcPr>
            <w:tcW w:w="2139" w:type="dxa"/>
            <w:noWrap/>
            <w:hideMark/>
          </w:tcPr>
          <w:p w14:paraId="64C5CBA3"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Unincorporated County</w:t>
            </w:r>
          </w:p>
        </w:tc>
        <w:tc>
          <w:tcPr>
            <w:tcW w:w="1840" w:type="dxa"/>
            <w:noWrap/>
            <w:hideMark/>
          </w:tcPr>
          <w:p w14:paraId="1322277A"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$25,166</w:t>
            </w:r>
          </w:p>
        </w:tc>
        <w:tc>
          <w:tcPr>
            <w:tcW w:w="2160" w:type="dxa"/>
            <w:noWrap/>
            <w:hideMark/>
          </w:tcPr>
          <w:p w14:paraId="20511F15"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N/A</w:t>
            </w:r>
          </w:p>
        </w:tc>
        <w:tc>
          <w:tcPr>
            <w:tcW w:w="2160" w:type="dxa"/>
            <w:noWrap/>
            <w:hideMark/>
          </w:tcPr>
          <w:p w14:paraId="63221F1A" w14:textId="77777777" w:rsidR="00D3076D" w:rsidRPr="00D3076D" w:rsidRDefault="00D3076D" w:rsidP="00D3076D">
            <w:pPr>
              <w:rPr>
                <w:rFonts w:ascii="Times New Roman" w:eastAsia="Times New Roman" w:hAnsi="Times New Roman" w:cs="Times New Roman"/>
                <w:sz w:val="24"/>
                <w:szCs w:val="24"/>
                <w:lang w:eastAsia="es-MX"/>
              </w:rPr>
            </w:pPr>
            <w:r w:rsidRPr="00D3076D">
              <w:rPr>
                <w:rFonts w:ascii="Times New Roman" w:eastAsia="Times New Roman" w:hAnsi="Times New Roman" w:cs="Times New Roman"/>
                <w:sz w:val="24"/>
                <w:szCs w:val="24"/>
                <w:lang w:eastAsia="es-MX"/>
              </w:rPr>
              <w:t>N/A</w:t>
            </w:r>
          </w:p>
        </w:tc>
      </w:tr>
    </w:tbl>
    <w:p w14:paraId="3A2B01DE" w14:textId="77777777" w:rsidR="00FC4654" w:rsidRPr="00FC4654" w:rsidRDefault="00FC4654" w:rsidP="00FC4654">
      <w:pPr>
        <w:spacing w:after="0" w:line="240" w:lineRule="auto"/>
        <w:rPr>
          <w:rFonts w:ascii="Times New Roman" w:eastAsia="Times New Roman" w:hAnsi="Times New Roman" w:cs="Times New Roman"/>
          <w:sz w:val="24"/>
          <w:szCs w:val="24"/>
          <w:lang w:val="es-MX" w:eastAsia="es-MX"/>
        </w:rPr>
      </w:pPr>
    </w:p>
    <w:p w14:paraId="1EF36D2E" w14:textId="77777777" w:rsidR="00FC4654" w:rsidRPr="00FC4654" w:rsidRDefault="00FC4654" w:rsidP="00FC4654">
      <w:pPr>
        <w:spacing w:after="0" w:line="240" w:lineRule="auto"/>
        <w:rPr>
          <w:rFonts w:ascii="Times New Roman" w:eastAsia="Times New Roman" w:hAnsi="Times New Roman" w:cs="Times New Roman"/>
          <w:sz w:val="24"/>
          <w:szCs w:val="24"/>
          <w:lang w:eastAsia="es-MX"/>
        </w:rPr>
      </w:pPr>
      <w:r w:rsidRPr="00FC4654">
        <w:rPr>
          <w:rFonts w:ascii="Times New Roman" w:eastAsia="Times New Roman" w:hAnsi="Times New Roman" w:cs="Times New Roman"/>
          <w:b/>
          <w:bCs/>
          <w:sz w:val="24"/>
          <w:szCs w:val="24"/>
          <w:lang w:eastAsia="es-MX"/>
        </w:rPr>
        <w:t xml:space="preserve">Total Fees per </w:t>
      </w:r>
      <w:proofErr w:type="gramStart"/>
      <w:r w:rsidRPr="00FC4654">
        <w:rPr>
          <w:rFonts w:ascii="Times New Roman" w:eastAsia="Times New Roman" w:hAnsi="Times New Roman" w:cs="Times New Roman"/>
          <w:b/>
          <w:bCs/>
          <w:sz w:val="24"/>
          <w:szCs w:val="24"/>
          <w:lang w:eastAsia="es-MX"/>
        </w:rPr>
        <w:t>Unit  -</w:t>
      </w:r>
      <w:proofErr w:type="gramEnd"/>
      <w:r w:rsidRPr="00FC4654">
        <w:rPr>
          <w:rFonts w:ascii="Times New Roman" w:eastAsia="Times New Roman" w:hAnsi="Times New Roman" w:cs="Times New Roman"/>
          <w:b/>
          <w:bCs/>
          <w:sz w:val="24"/>
          <w:szCs w:val="24"/>
          <w:lang w:eastAsia="es-MX"/>
        </w:rPr>
        <w:t xml:space="preserve"> Distribution of the Data</w:t>
      </w:r>
    </w:p>
    <w:p w14:paraId="7BB0432B" w14:textId="77777777" w:rsidR="00FC4654" w:rsidRPr="00FC4654" w:rsidRDefault="00FC4654" w:rsidP="00FC4654">
      <w:pPr>
        <w:spacing w:after="0" w:line="240" w:lineRule="auto"/>
        <w:rPr>
          <w:rFonts w:ascii="Times New Roman" w:eastAsia="Times New Roman" w:hAnsi="Times New Roman" w:cs="Times New Roman"/>
          <w:sz w:val="24"/>
          <w:szCs w:val="24"/>
          <w:lang w:eastAsia="es-MX"/>
        </w:rPr>
      </w:pPr>
    </w:p>
    <w:tbl>
      <w:tblPr>
        <w:tblW w:w="10120" w:type="dxa"/>
        <w:tblCellMar>
          <w:left w:w="0" w:type="dxa"/>
          <w:right w:w="0" w:type="dxa"/>
        </w:tblCellMar>
        <w:tblLook w:val="04A0" w:firstRow="1" w:lastRow="0" w:firstColumn="1" w:lastColumn="0" w:noHBand="0" w:noVBand="1"/>
      </w:tblPr>
      <w:tblGrid>
        <w:gridCol w:w="3060"/>
        <w:gridCol w:w="1960"/>
        <w:gridCol w:w="2580"/>
        <w:gridCol w:w="2520"/>
      </w:tblGrid>
      <w:tr w:rsidR="00FC4654" w:rsidRPr="00FC4654" w14:paraId="48B01865" w14:textId="77777777" w:rsidTr="00FC4654">
        <w:trPr>
          <w:trHeight w:val="375"/>
        </w:trPr>
        <w:tc>
          <w:tcPr>
            <w:tcW w:w="30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40DB112" w14:textId="77777777" w:rsidR="00FC4654" w:rsidRPr="00FC4654" w:rsidRDefault="00FC4654" w:rsidP="00FC4654">
            <w:pPr>
              <w:spacing w:after="0" w:line="240" w:lineRule="auto"/>
              <w:rPr>
                <w:rFonts w:ascii="Calibri" w:eastAsia="Times New Roman" w:hAnsi="Calibri" w:cs="Calibri"/>
                <w:b/>
                <w:bCs/>
                <w:color w:val="000000"/>
                <w:lang w:eastAsia="es-MX"/>
              </w:rPr>
            </w:pPr>
            <w:r w:rsidRPr="00FC4654">
              <w:rPr>
                <w:rFonts w:ascii="Calibri" w:eastAsia="Times New Roman" w:hAnsi="Calibri" w:cs="Calibri"/>
                <w:b/>
                <w:bCs/>
                <w:color w:val="000000"/>
                <w:lang w:eastAsia="es-MX"/>
              </w:rPr>
              <w:t> </w:t>
            </w:r>
          </w:p>
        </w:tc>
        <w:tc>
          <w:tcPr>
            <w:tcW w:w="19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0C4EE179" w14:textId="77777777" w:rsidR="00FC4654" w:rsidRPr="00FC4654" w:rsidRDefault="00FC4654" w:rsidP="00FC4654">
            <w:pPr>
              <w:spacing w:after="0" w:line="240" w:lineRule="auto"/>
              <w:rPr>
                <w:rFonts w:ascii="Calibri" w:eastAsia="Times New Roman" w:hAnsi="Calibri" w:cs="Calibri"/>
                <w:b/>
                <w:bCs/>
                <w:color w:val="000000"/>
                <w:sz w:val="28"/>
                <w:szCs w:val="28"/>
                <w:lang w:val="es-MX" w:eastAsia="es-MX"/>
              </w:rPr>
            </w:pPr>
            <w:r w:rsidRPr="00FC4654">
              <w:rPr>
                <w:rFonts w:ascii="Calibri" w:eastAsia="Times New Roman" w:hAnsi="Calibri" w:cs="Calibri"/>
                <w:b/>
                <w:bCs/>
                <w:color w:val="000000"/>
                <w:sz w:val="28"/>
                <w:szCs w:val="28"/>
                <w:lang w:val="es-MX" w:eastAsia="es-MX"/>
              </w:rPr>
              <w:t xml:space="preserve">Single </w:t>
            </w:r>
            <w:proofErr w:type="spellStart"/>
            <w:r w:rsidRPr="00FC4654">
              <w:rPr>
                <w:rFonts w:ascii="Calibri" w:eastAsia="Times New Roman" w:hAnsi="Calibri" w:cs="Calibri"/>
                <w:b/>
                <w:bCs/>
                <w:color w:val="000000"/>
                <w:sz w:val="28"/>
                <w:szCs w:val="28"/>
                <w:lang w:val="es-MX" w:eastAsia="es-MX"/>
              </w:rPr>
              <w:t>Family</w:t>
            </w:r>
            <w:proofErr w:type="spellEnd"/>
          </w:p>
        </w:tc>
        <w:tc>
          <w:tcPr>
            <w:tcW w:w="25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92CA1F1" w14:textId="77777777" w:rsidR="00FC4654" w:rsidRPr="00FC4654" w:rsidRDefault="00FC4654" w:rsidP="00FC4654">
            <w:pPr>
              <w:spacing w:after="0" w:line="240" w:lineRule="auto"/>
              <w:rPr>
                <w:rFonts w:ascii="Calibri" w:eastAsia="Times New Roman" w:hAnsi="Calibri" w:cs="Calibri"/>
                <w:b/>
                <w:bCs/>
                <w:color w:val="000000"/>
                <w:sz w:val="28"/>
                <w:szCs w:val="28"/>
                <w:lang w:val="es-MX" w:eastAsia="es-MX"/>
              </w:rPr>
            </w:pPr>
            <w:r w:rsidRPr="00FC4654">
              <w:rPr>
                <w:rFonts w:ascii="Calibri" w:eastAsia="Times New Roman" w:hAnsi="Calibri" w:cs="Calibri"/>
                <w:b/>
                <w:bCs/>
                <w:color w:val="000000"/>
                <w:sz w:val="28"/>
                <w:szCs w:val="28"/>
                <w:lang w:val="es-MX" w:eastAsia="es-MX"/>
              </w:rPr>
              <w:t>Small Multi-</w:t>
            </w:r>
            <w:proofErr w:type="spellStart"/>
            <w:r w:rsidRPr="00FC4654">
              <w:rPr>
                <w:rFonts w:ascii="Calibri" w:eastAsia="Times New Roman" w:hAnsi="Calibri" w:cs="Calibri"/>
                <w:b/>
                <w:bCs/>
                <w:color w:val="000000"/>
                <w:sz w:val="28"/>
                <w:szCs w:val="28"/>
                <w:lang w:val="es-MX" w:eastAsia="es-MX"/>
              </w:rPr>
              <w:t>Unit</w:t>
            </w:r>
            <w:proofErr w:type="spellEnd"/>
          </w:p>
        </w:tc>
        <w:tc>
          <w:tcPr>
            <w:tcW w:w="2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504D833A" w14:textId="77777777" w:rsidR="00FC4654" w:rsidRPr="00FC4654" w:rsidRDefault="00FC4654" w:rsidP="00FC4654">
            <w:pPr>
              <w:spacing w:after="0" w:line="240" w:lineRule="auto"/>
              <w:rPr>
                <w:rFonts w:ascii="Calibri" w:eastAsia="Times New Roman" w:hAnsi="Calibri" w:cs="Calibri"/>
                <w:b/>
                <w:bCs/>
                <w:color w:val="000000"/>
                <w:sz w:val="28"/>
                <w:szCs w:val="28"/>
                <w:lang w:val="es-MX" w:eastAsia="es-MX"/>
              </w:rPr>
            </w:pPr>
            <w:proofErr w:type="spellStart"/>
            <w:r w:rsidRPr="00FC4654">
              <w:rPr>
                <w:rFonts w:ascii="Calibri" w:eastAsia="Times New Roman" w:hAnsi="Calibri" w:cs="Calibri"/>
                <w:b/>
                <w:bCs/>
                <w:color w:val="000000"/>
                <w:sz w:val="28"/>
                <w:szCs w:val="28"/>
                <w:lang w:val="es-MX" w:eastAsia="es-MX"/>
              </w:rPr>
              <w:t>Large</w:t>
            </w:r>
            <w:proofErr w:type="spellEnd"/>
            <w:r w:rsidRPr="00FC4654">
              <w:rPr>
                <w:rFonts w:ascii="Calibri" w:eastAsia="Times New Roman" w:hAnsi="Calibri" w:cs="Calibri"/>
                <w:b/>
                <w:bCs/>
                <w:color w:val="000000"/>
                <w:sz w:val="28"/>
                <w:szCs w:val="28"/>
                <w:lang w:val="es-MX" w:eastAsia="es-MX"/>
              </w:rPr>
              <w:t xml:space="preserve"> Multi-</w:t>
            </w:r>
            <w:proofErr w:type="spellStart"/>
            <w:r w:rsidRPr="00FC4654">
              <w:rPr>
                <w:rFonts w:ascii="Calibri" w:eastAsia="Times New Roman" w:hAnsi="Calibri" w:cs="Calibri"/>
                <w:b/>
                <w:bCs/>
                <w:color w:val="000000"/>
                <w:sz w:val="28"/>
                <w:szCs w:val="28"/>
                <w:lang w:val="es-MX" w:eastAsia="es-MX"/>
              </w:rPr>
              <w:t>Unit</w:t>
            </w:r>
            <w:proofErr w:type="spellEnd"/>
          </w:p>
        </w:tc>
      </w:tr>
      <w:tr w:rsidR="00FC4654" w:rsidRPr="00FC4654" w14:paraId="4BF54498" w14:textId="77777777" w:rsidTr="00FC4654">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6A4A9BE" w14:textId="77777777" w:rsidR="00FC4654" w:rsidRPr="00FC4654" w:rsidRDefault="00FC4654" w:rsidP="00FC4654">
            <w:pPr>
              <w:spacing w:after="0" w:line="240" w:lineRule="auto"/>
              <w:rPr>
                <w:rFonts w:ascii="Calibri" w:eastAsia="Times New Roman" w:hAnsi="Calibri" w:cs="Calibri"/>
                <w:b/>
                <w:bCs/>
                <w:color w:val="000000"/>
                <w:lang w:val="es-MX" w:eastAsia="es-MX"/>
              </w:rPr>
            </w:pPr>
            <w:proofErr w:type="spellStart"/>
            <w:r w:rsidRPr="00FC4654">
              <w:rPr>
                <w:rFonts w:ascii="Calibri" w:eastAsia="Times New Roman" w:hAnsi="Calibri" w:cs="Calibri"/>
                <w:b/>
                <w:bCs/>
                <w:color w:val="000000"/>
                <w:lang w:val="es-MX" w:eastAsia="es-MX"/>
              </w:rPr>
              <w:t>Quartile</w:t>
            </w:r>
            <w:proofErr w:type="spellEnd"/>
            <w:r w:rsidRPr="00FC4654">
              <w:rPr>
                <w:rFonts w:ascii="Calibri" w:eastAsia="Times New Roman" w:hAnsi="Calibri" w:cs="Calibri"/>
                <w:b/>
                <w:bCs/>
                <w:color w:val="000000"/>
                <w:lang w:val="es-MX" w:eastAsia="es-MX"/>
              </w:rPr>
              <w:t xml:space="preserve"> 1 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610A9B4" w14:textId="15A404FE" w:rsidR="00FC4654" w:rsidRPr="00FC4654" w:rsidRDefault="00C03F2D" w:rsidP="00FC4654">
            <w:pPr>
              <w:spacing w:after="0" w:line="240" w:lineRule="auto"/>
              <w:jc w:val="right"/>
              <w:rPr>
                <w:rFonts w:ascii="Calibri" w:eastAsia="Times New Roman" w:hAnsi="Calibri" w:cs="Calibri"/>
                <w:color w:val="000000"/>
                <w:lang w:val="es-MX" w:eastAsia="es-MX"/>
              </w:rPr>
            </w:pPr>
            <w:r w:rsidRPr="00C03F2D">
              <w:rPr>
                <w:rFonts w:ascii="Calibri" w:eastAsia="Times New Roman" w:hAnsi="Calibri" w:cs="Calibri"/>
                <w:color w:val="000000"/>
                <w:lang w:val="es-MX" w:eastAsia="es-MX"/>
              </w:rPr>
              <w:t>$32,705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84B2367" w14:textId="1F7040A4" w:rsidR="00FC4654" w:rsidRPr="00FC4654" w:rsidRDefault="00C03F2D" w:rsidP="00FC4654">
            <w:pPr>
              <w:spacing w:after="0" w:line="240" w:lineRule="auto"/>
              <w:jc w:val="right"/>
              <w:rPr>
                <w:rFonts w:ascii="Calibri" w:eastAsia="Times New Roman" w:hAnsi="Calibri" w:cs="Calibri"/>
                <w:color w:val="000000"/>
                <w:lang w:val="es-MX" w:eastAsia="es-MX"/>
              </w:rPr>
            </w:pPr>
            <w:r w:rsidRPr="00C03F2D">
              <w:rPr>
                <w:rFonts w:ascii="Calibri" w:eastAsia="Times New Roman" w:hAnsi="Calibri" w:cs="Calibri"/>
                <w:color w:val="000000"/>
                <w:lang w:val="es-MX" w:eastAsia="es-MX"/>
              </w:rPr>
              <w:t>$14,481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599E510" w14:textId="4C9BE669" w:rsidR="00FC4654" w:rsidRPr="00FC4654" w:rsidRDefault="00C03F2D" w:rsidP="00FC4654">
            <w:pPr>
              <w:spacing w:after="0" w:line="240" w:lineRule="auto"/>
              <w:jc w:val="right"/>
              <w:rPr>
                <w:rFonts w:ascii="Calibri" w:eastAsia="Times New Roman" w:hAnsi="Calibri" w:cs="Calibri"/>
                <w:color w:val="000000"/>
                <w:lang w:val="es-MX" w:eastAsia="es-MX"/>
              </w:rPr>
            </w:pPr>
            <w:r w:rsidRPr="00C03F2D">
              <w:rPr>
                <w:rFonts w:ascii="Calibri" w:eastAsia="Times New Roman" w:hAnsi="Calibri" w:cs="Calibri"/>
                <w:color w:val="000000"/>
                <w:lang w:val="es-MX" w:eastAsia="es-MX"/>
              </w:rPr>
              <w:t>$12,582</w:t>
            </w:r>
          </w:p>
        </w:tc>
      </w:tr>
      <w:tr w:rsidR="00FC4654" w:rsidRPr="00FC4654" w14:paraId="1BF036A0" w14:textId="77777777" w:rsidTr="00FC4654">
        <w:trPr>
          <w:trHeight w:val="300"/>
        </w:trPr>
        <w:tc>
          <w:tcPr>
            <w:tcW w:w="0" w:type="auto"/>
            <w:tcBorders>
              <w:top w:val="nil"/>
              <w:left w:val="single" w:sz="4" w:space="0" w:color="auto"/>
              <w:bottom w:val="single" w:sz="4" w:space="0" w:color="auto"/>
              <w:right w:val="single" w:sz="4" w:space="0" w:color="auto"/>
            </w:tcBorders>
            <w:shd w:val="clear" w:color="auto" w:fill="E7E6E6"/>
            <w:noWrap/>
            <w:tcMar>
              <w:top w:w="15" w:type="dxa"/>
              <w:left w:w="15" w:type="dxa"/>
              <w:bottom w:w="0" w:type="dxa"/>
              <w:right w:w="15" w:type="dxa"/>
            </w:tcMar>
            <w:vAlign w:val="center"/>
            <w:hideMark/>
          </w:tcPr>
          <w:p w14:paraId="1B555463" w14:textId="77777777" w:rsidR="00FC4654" w:rsidRPr="00FC4654" w:rsidRDefault="00FC4654" w:rsidP="00FC4654">
            <w:pPr>
              <w:spacing w:after="0" w:line="240" w:lineRule="auto"/>
              <w:rPr>
                <w:rFonts w:ascii="Calibri" w:eastAsia="Times New Roman" w:hAnsi="Calibri" w:cs="Calibri"/>
                <w:b/>
                <w:bCs/>
                <w:color w:val="000000"/>
                <w:lang w:val="es-MX" w:eastAsia="es-MX"/>
              </w:rPr>
            </w:pPr>
            <w:r w:rsidRPr="00FC4654">
              <w:rPr>
                <w:rFonts w:ascii="Calibri" w:eastAsia="Times New Roman" w:hAnsi="Calibri" w:cs="Calibri"/>
                <w:b/>
                <w:bCs/>
                <w:color w:val="000000"/>
                <w:lang w:val="es-MX" w:eastAsia="es-MX"/>
              </w:rPr>
              <w:t>Median</w:t>
            </w:r>
          </w:p>
        </w:tc>
        <w:tc>
          <w:tcPr>
            <w:tcW w:w="0" w:type="auto"/>
            <w:tcBorders>
              <w:top w:val="nil"/>
              <w:left w:val="nil"/>
              <w:bottom w:val="single" w:sz="4" w:space="0" w:color="auto"/>
              <w:right w:val="single" w:sz="4" w:space="0" w:color="auto"/>
            </w:tcBorders>
            <w:shd w:val="clear" w:color="auto" w:fill="E7E6E6"/>
            <w:noWrap/>
            <w:tcMar>
              <w:top w:w="15" w:type="dxa"/>
              <w:left w:w="15" w:type="dxa"/>
              <w:bottom w:w="0" w:type="dxa"/>
              <w:right w:w="15" w:type="dxa"/>
            </w:tcMar>
            <w:vAlign w:val="bottom"/>
            <w:hideMark/>
          </w:tcPr>
          <w:p w14:paraId="33931349" w14:textId="57CC3637" w:rsidR="00FC4654" w:rsidRPr="00FC4654" w:rsidRDefault="00C03F2D" w:rsidP="00FC4654">
            <w:pPr>
              <w:spacing w:after="0" w:line="240" w:lineRule="auto"/>
              <w:jc w:val="right"/>
              <w:rPr>
                <w:rFonts w:ascii="Calibri" w:eastAsia="Times New Roman" w:hAnsi="Calibri" w:cs="Calibri"/>
                <w:color w:val="000000"/>
                <w:lang w:val="es-MX" w:eastAsia="es-MX"/>
              </w:rPr>
            </w:pPr>
            <w:r w:rsidRPr="00C03F2D">
              <w:rPr>
                <w:rFonts w:ascii="Calibri" w:eastAsia="Times New Roman" w:hAnsi="Calibri" w:cs="Calibri"/>
                <w:color w:val="000000"/>
                <w:lang w:val="es-MX" w:eastAsia="es-MX"/>
              </w:rPr>
              <w:t>$66,745</w:t>
            </w:r>
          </w:p>
        </w:tc>
        <w:tc>
          <w:tcPr>
            <w:tcW w:w="0" w:type="auto"/>
            <w:tcBorders>
              <w:top w:val="nil"/>
              <w:left w:val="nil"/>
              <w:bottom w:val="single" w:sz="4" w:space="0" w:color="auto"/>
              <w:right w:val="single" w:sz="4" w:space="0" w:color="auto"/>
            </w:tcBorders>
            <w:shd w:val="clear" w:color="auto" w:fill="E7E6E6"/>
            <w:noWrap/>
            <w:tcMar>
              <w:top w:w="15" w:type="dxa"/>
              <w:left w:w="15" w:type="dxa"/>
              <w:bottom w:w="0" w:type="dxa"/>
              <w:right w:w="15" w:type="dxa"/>
            </w:tcMar>
            <w:vAlign w:val="bottom"/>
            <w:hideMark/>
          </w:tcPr>
          <w:p w14:paraId="2C57AFA3" w14:textId="663D3DED" w:rsidR="00FC4654" w:rsidRPr="00FC4654" w:rsidRDefault="00C03F2D" w:rsidP="00FC4654">
            <w:pPr>
              <w:spacing w:after="0" w:line="240" w:lineRule="auto"/>
              <w:jc w:val="right"/>
              <w:rPr>
                <w:rFonts w:ascii="Calibri" w:eastAsia="Times New Roman" w:hAnsi="Calibri" w:cs="Calibri"/>
                <w:color w:val="000000"/>
                <w:lang w:val="es-MX" w:eastAsia="es-MX"/>
              </w:rPr>
            </w:pPr>
            <w:r w:rsidRPr="00C03F2D">
              <w:rPr>
                <w:rFonts w:ascii="Calibri" w:eastAsia="Times New Roman" w:hAnsi="Calibri" w:cs="Calibri"/>
                <w:color w:val="000000"/>
                <w:lang w:val="es-MX" w:eastAsia="es-MX"/>
              </w:rPr>
              <w:t>$31,802</w:t>
            </w:r>
          </w:p>
        </w:tc>
        <w:tc>
          <w:tcPr>
            <w:tcW w:w="0" w:type="auto"/>
            <w:tcBorders>
              <w:top w:val="nil"/>
              <w:left w:val="nil"/>
              <w:bottom w:val="single" w:sz="4" w:space="0" w:color="auto"/>
              <w:right w:val="single" w:sz="4" w:space="0" w:color="auto"/>
            </w:tcBorders>
            <w:shd w:val="clear" w:color="auto" w:fill="E7E6E6"/>
            <w:noWrap/>
            <w:tcMar>
              <w:top w:w="15" w:type="dxa"/>
              <w:left w:w="15" w:type="dxa"/>
              <w:bottom w:w="0" w:type="dxa"/>
              <w:right w:w="15" w:type="dxa"/>
            </w:tcMar>
            <w:vAlign w:val="bottom"/>
            <w:hideMark/>
          </w:tcPr>
          <w:p w14:paraId="3AF9CB12" w14:textId="3A8D654C" w:rsidR="00FC4654" w:rsidRPr="00FC4654" w:rsidRDefault="00C03F2D" w:rsidP="00FC4654">
            <w:pPr>
              <w:spacing w:after="0" w:line="240" w:lineRule="auto"/>
              <w:jc w:val="right"/>
              <w:rPr>
                <w:rFonts w:ascii="Calibri" w:eastAsia="Times New Roman" w:hAnsi="Calibri" w:cs="Calibri"/>
                <w:color w:val="000000"/>
                <w:lang w:val="es-MX" w:eastAsia="es-MX"/>
              </w:rPr>
            </w:pPr>
            <w:r w:rsidRPr="00C03F2D">
              <w:rPr>
                <w:rFonts w:ascii="Calibri" w:eastAsia="Times New Roman" w:hAnsi="Calibri" w:cs="Calibri"/>
                <w:color w:val="000000"/>
                <w:lang w:val="es-MX" w:eastAsia="es-MX"/>
              </w:rPr>
              <w:t>$29,903</w:t>
            </w:r>
          </w:p>
        </w:tc>
      </w:tr>
      <w:tr w:rsidR="00FC4654" w:rsidRPr="00FC4654" w14:paraId="38777498" w14:textId="77777777" w:rsidTr="00FC4654">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96C5DBB" w14:textId="77777777" w:rsidR="00FC4654" w:rsidRPr="00FC4654" w:rsidRDefault="00FC4654" w:rsidP="00FC4654">
            <w:pPr>
              <w:spacing w:after="0" w:line="240" w:lineRule="auto"/>
              <w:rPr>
                <w:rFonts w:ascii="Calibri" w:eastAsia="Times New Roman" w:hAnsi="Calibri" w:cs="Calibri"/>
                <w:b/>
                <w:bCs/>
                <w:color w:val="000000"/>
                <w:lang w:val="es-MX" w:eastAsia="es-MX"/>
              </w:rPr>
            </w:pPr>
            <w:proofErr w:type="spellStart"/>
            <w:r w:rsidRPr="00FC4654">
              <w:rPr>
                <w:rFonts w:ascii="Calibri" w:eastAsia="Times New Roman" w:hAnsi="Calibri" w:cs="Calibri"/>
                <w:b/>
                <w:bCs/>
                <w:color w:val="000000"/>
                <w:lang w:val="es-MX" w:eastAsia="es-MX"/>
              </w:rPr>
              <w:t>Quartile</w:t>
            </w:r>
            <w:proofErr w:type="spellEnd"/>
            <w:r w:rsidRPr="00FC4654">
              <w:rPr>
                <w:rFonts w:ascii="Calibri" w:eastAsia="Times New Roman" w:hAnsi="Calibri" w:cs="Calibri"/>
                <w:b/>
                <w:bCs/>
                <w:color w:val="000000"/>
                <w:lang w:val="es-MX" w:eastAsia="es-MX"/>
              </w:rPr>
              <w:t xml:space="preserve"> 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D54C551" w14:textId="55B03A5B" w:rsidR="00FC4654" w:rsidRPr="00FC4654" w:rsidRDefault="00C03F2D" w:rsidP="00FC4654">
            <w:pPr>
              <w:spacing w:after="0" w:line="240" w:lineRule="auto"/>
              <w:jc w:val="right"/>
              <w:rPr>
                <w:rFonts w:ascii="Calibri" w:eastAsia="Times New Roman" w:hAnsi="Calibri" w:cs="Calibri"/>
                <w:color w:val="000000"/>
                <w:lang w:val="es-MX" w:eastAsia="es-MX"/>
              </w:rPr>
            </w:pPr>
            <w:r w:rsidRPr="00C03F2D">
              <w:rPr>
                <w:rFonts w:ascii="Calibri" w:eastAsia="Times New Roman" w:hAnsi="Calibri" w:cs="Calibri"/>
                <w:color w:val="000000"/>
                <w:lang w:val="es-MX" w:eastAsia="es-MX"/>
              </w:rPr>
              <w:t>$87,117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822B454" w14:textId="56EA30B3" w:rsidR="00FC4654" w:rsidRPr="00FC4654" w:rsidRDefault="00C03F2D" w:rsidP="00FC4654">
            <w:pPr>
              <w:spacing w:after="0" w:line="240" w:lineRule="auto"/>
              <w:jc w:val="right"/>
              <w:rPr>
                <w:rFonts w:ascii="Calibri" w:eastAsia="Times New Roman" w:hAnsi="Calibri" w:cs="Calibri"/>
                <w:color w:val="000000"/>
                <w:lang w:val="es-MX" w:eastAsia="es-MX"/>
              </w:rPr>
            </w:pPr>
            <w:r w:rsidRPr="00C03F2D">
              <w:rPr>
                <w:rFonts w:ascii="Calibri" w:eastAsia="Times New Roman" w:hAnsi="Calibri" w:cs="Calibri"/>
                <w:color w:val="000000"/>
                <w:lang w:val="es-MX" w:eastAsia="es-MX"/>
              </w:rPr>
              <w:t>$70,704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66CD6C1" w14:textId="366010AE" w:rsidR="00FC4654" w:rsidRPr="00FC4654" w:rsidRDefault="00C03F2D" w:rsidP="00FC4654">
            <w:pPr>
              <w:spacing w:after="0" w:line="240" w:lineRule="auto"/>
              <w:jc w:val="right"/>
              <w:rPr>
                <w:rFonts w:ascii="Calibri" w:eastAsia="Times New Roman" w:hAnsi="Calibri" w:cs="Calibri"/>
                <w:color w:val="000000"/>
                <w:lang w:val="es-MX" w:eastAsia="es-MX"/>
              </w:rPr>
            </w:pPr>
            <w:r w:rsidRPr="00C03F2D">
              <w:rPr>
                <w:rFonts w:ascii="Calibri" w:eastAsia="Times New Roman" w:hAnsi="Calibri" w:cs="Calibri"/>
                <w:color w:val="000000"/>
                <w:lang w:val="es-MX" w:eastAsia="es-MX"/>
              </w:rPr>
              <w:t>$63,295</w:t>
            </w:r>
          </w:p>
        </w:tc>
      </w:tr>
      <w:tr w:rsidR="00FC4654" w:rsidRPr="00FC4654" w14:paraId="12DCBA14" w14:textId="77777777" w:rsidTr="00FC4654">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9C0B3D3" w14:textId="77777777" w:rsidR="00FC4654" w:rsidRPr="00FC4654" w:rsidRDefault="00FC4654" w:rsidP="00FC4654">
            <w:pPr>
              <w:spacing w:after="0" w:line="240" w:lineRule="auto"/>
              <w:rPr>
                <w:rFonts w:ascii="Calibri" w:eastAsia="Times New Roman" w:hAnsi="Calibri" w:cs="Calibri"/>
                <w:b/>
                <w:bCs/>
                <w:color w:val="000000"/>
                <w:lang w:val="es-MX" w:eastAsia="es-MX"/>
              </w:rPr>
            </w:pPr>
            <w:proofErr w:type="spellStart"/>
            <w:r w:rsidRPr="00FC4654">
              <w:rPr>
                <w:rFonts w:ascii="Calibri" w:eastAsia="Times New Roman" w:hAnsi="Calibri" w:cs="Calibri"/>
                <w:b/>
                <w:bCs/>
                <w:color w:val="000000"/>
                <w:lang w:val="es-MX" w:eastAsia="es-MX"/>
              </w:rPr>
              <w:t>Interquartile</w:t>
            </w:r>
            <w:proofErr w:type="spellEnd"/>
            <w:r w:rsidRPr="00FC4654">
              <w:rPr>
                <w:rFonts w:ascii="Calibri" w:eastAsia="Times New Roman" w:hAnsi="Calibri" w:cs="Calibri"/>
                <w:b/>
                <w:bCs/>
                <w:color w:val="000000"/>
                <w:lang w:val="es-MX" w:eastAsia="es-MX"/>
              </w:rPr>
              <w:t xml:space="preserve"> </w:t>
            </w:r>
            <w:proofErr w:type="spellStart"/>
            <w:r w:rsidRPr="00FC4654">
              <w:rPr>
                <w:rFonts w:ascii="Calibri" w:eastAsia="Times New Roman" w:hAnsi="Calibri" w:cs="Calibri"/>
                <w:b/>
                <w:bCs/>
                <w:color w:val="000000"/>
                <w:lang w:val="es-MX" w:eastAsia="es-MX"/>
              </w:rPr>
              <w:t>Range</w:t>
            </w:r>
            <w:proofErr w:type="spellEnd"/>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0BF7FDE" w14:textId="07D8F3B3" w:rsidR="00FC4654" w:rsidRPr="00FC4654" w:rsidRDefault="00C03F2D" w:rsidP="00FC4654">
            <w:pPr>
              <w:spacing w:after="0" w:line="240" w:lineRule="auto"/>
              <w:jc w:val="right"/>
              <w:rPr>
                <w:rFonts w:ascii="Calibri" w:eastAsia="Times New Roman" w:hAnsi="Calibri" w:cs="Calibri"/>
                <w:color w:val="000000"/>
                <w:lang w:val="es-MX" w:eastAsia="es-MX"/>
              </w:rPr>
            </w:pPr>
            <w:r w:rsidRPr="00C03F2D">
              <w:rPr>
                <w:rFonts w:ascii="Calibri" w:eastAsia="Times New Roman" w:hAnsi="Calibri" w:cs="Calibri"/>
                <w:color w:val="000000"/>
                <w:lang w:val="es-MX" w:eastAsia="es-MX"/>
              </w:rPr>
              <w:t>$54,412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D9935CC" w14:textId="4DB3DD3C" w:rsidR="00FC4654" w:rsidRPr="00FC4654" w:rsidRDefault="00C03F2D" w:rsidP="00FC4654">
            <w:pPr>
              <w:spacing w:after="0" w:line="240" w:lineRule="auto"/>
              <w:jc w:val="right"/>
              <w:rPr>
                <w:rFonts w:ascii="Calibri" w:eastAsia="Times New Roman" w:hAnsi="Calibri" w:cs="Calibri"/>
                <w:color w:val="000000"/>
                <w:lang w:val="es-MX" w:eastAsia="es-MX"/>
              </w:rPr>
            </w:pPr>
            <w:r w:rsidRPr="00C03F2D">
              <w:rPr>
                <w:rFonts w:ascii="Calibri" w:eastAsia="Times New Roman" w:hAnsi="Calibri" w:cs="Calibri"/>
                <w:color w:val="000000"/>
                <w:lang w:val="es-MX" w:eastAsia="es-MX"/>
              </w:rPr>
              <w:t>$56,223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9B1BE41" w14:textId="3109B76B" w:rsidR="00FC4654" w:rsidRPr="00FC4654" w:rsidRDefault="00C03F2D" w:rsidP="00FC4654">
            <w:pPr>
              <w:spacing w:after="0" w:line="240" w:lineRule="auto"/>
              <w:jc w:val="right"/>
              <w:rPr>
                <w:rFonts w:ascii="Calibri" w:eastAsia="Times New Roman" w:hAnsi="Calibri" w:cs="Calibri"/>
                <w:color w:val="000000"/>
                <w:lang w:val="es-MX" w:eastAsia="es-MX"/>
              </w:rPr>
            </w:pPr>
            <w:r w:rsidRPr="00C03F2D">
              <w:rPr>
                <w:rFonts w:ascii="Calibri" w:eastAsia="Times New Roman" w:hAnsi="Calibri" w:cs="Calibri"/>
                <w:color w:val="000000"/>
                <w:lang w:val="es-MX" w:eastAsia="es-MX"/>
              </w:rPr>
              <w:t>$50,712</w:t>
            </w:r>
          </w:p>
        </w:tc>
      </w:tr>
      <w:tr w:rsidR="00FC4654" w:rsidRPr="00FC4654" w14:paraId="58AABFA8" w14:textId="77777777" w:rsidTr="00FC4654">
        <w:trPr>
          <w:trHeight w:val="300"/>
        </w:trPr>
        <w:tc>
          <w:tcPr>
            <w:tcW w:w="0" w:type="auto"/>
            <w:tcBorders>
              <w:top w:val="nil"/>
              <w:left w:val="single" w:sz="4" w:space="0" w:color="auto"/>
              <w:bottom w:val="single" w:sz="4" w:space="0" w:color="auto"/>
              <w:right w:val="single" w:sz="4" w:space="0" w:color="auto"/>
            </w:tcBorders>
            <w:shd w:val="clear" w:color="auto" w:fill="E7E6E6"/>
            <w:noWrap/>
            <w:tcMar>
              <w:top w:w="15" w:type="dxa"/>
              <w:left w:w="15" w:type="dxa"/>
              <w:bottom w:w="0" w:type="dxa"/>
              <w:right w:w="15" w:type="dxa"/>
            </w:tcMar>
            <w:vAlign w:val="center"/>
            <w:hideMark/>
          </w:tcPr>
          <w:p w14:paraId="38DB4B69" w14:textId="77777777" w:rsidR="00FC4654" w:rsidRPr="00FC4654" w:rsidRDefault="00FC4654" w:rsidP="00FC4654">
            <w:pPr>
              <w:spacing w:after="0" w:line="240" w:lineRule="auto"/>
              <w:rPr>
                <w:rFonts w:ascii="Calibri" w:eastAsia="Times New Roman" w:hAnsi="Calibri" w:cs="Calibri"/>
                <w:b/>
                <w:bCs/>
                <w:color w:val="000000"/>
                <w:lang w:val="es-MX" w:eastAsia="es-MX"/>
              </w:rPr>
            </w:pPr>
            <w:proofErr w:type="gramStart"/>
            <w:r w:rsidRPr="00FC4654">
              <w:rPr>
                <w:rFonts w:ascii="Calibri" w:eastAsia="Times New Roman" w:hAnsi="Calibri" w:cs="Calibri"/>
                <w:b/>
                <w:bCs/>
                <w:color w:val="000000"/>
                <w:lang w:val="es-MX" w:eastAsia="es-MX"/>
              </w:rPr>
              <w:t>Total</w:t>
            </w:r>
            <w:proofErr w:type="gramEnd"/>
            <w:r w:rsidRPr="00FC4654">
              <w:rPr>
                <w:rFonts w:ascii="Calibri" w:eastAsia="Times New Roman" w:hAnsi="Calibri" w:cs="Calibri"/>
                <w:b/>
                <w:bCs/>
                <w:color w:val="000000"/>
                <w:lang w:val="es-MX" w:eastAsia="es-MX"/>
              </w:rPr>
              <w:t xml:space="preserve"> </w:t>
            </w:r>
            <w:proofErr w:type="spellStart"/>
            <w:r w:rsidRPr="00FC4654">
              <w:rPr>
                <w:rFonts w:ascii="Calibri" w:eastAsia="Times New Roman" w:hAnsi="Calibri" w:cs="Calibri"/>
                <w:b/>
                <w:bCs/>
                <w:color w:val="000000"/>
                <w:lang w:val="es-MX" w:eastAsia="es-MX"/>
              </w:rPr>
              <w:t>Range</w:t>
            </w:r>
            <w:proofErr w:type="spellEnd"/>
          </w:p>
        </w:tc>
        <w:tc>
          <w:tcPr>
            <w:tcW w:w="0" w:type="auto"/>
            <w:tcBorders>
              <w:top w:val="nil"/>
              <w:left w:val="nil"/>
              <w:bottom w:val="single" w:sz="4" w:space="0" w:color="auto"/>
              <w:right w:val="single" w:sz="4" w:space="0" w:color="auto"/>
            </w:tcBorders>
            <w:shd w:val="clear" w:color="auto" w:fill="E7E6E6"/>
            <w:noWrap/>
            <w:tcMar>
              <w:top w:w="15" w:type="dxa"/>
              <w:left w:w="15" w:type="dxa"/>
              <w:bottom w:w="0" w:type="dxa"/>
              <w:right w:w="15" w:type="dxa"/>
            </w:tcMar>
            <w:vAlign w:val="bottom"/>
            <w:hideMark/>
          </w:tcPr>
          <w:p w14:paraId="4FE8D32F" w14:textId="37EEAFE1" w:rsidR="00FC4654" w:rsidRPr="00FC4654" w:rsidRDefault="00C03F2D" w:rsidP="00FC4654">
            <w:pPr>
              <w:spacing w:after="0" w:line="240" w:lineRule="auto"/>
              <w:jc w:val="right"/>
              <w:rPr>
                <w:rFonts w:ascii="Calibri" w:eastAsia="Times New Roman" w:hAnsi="Calibri" w:cs="Calibri"/>
                <w:color w:val="000000"/>
                <w:lang w:val="es-MX" w:eastAsia="es-MX"/>
              </w:rPr>
            </w:pPr>
            <w:r w:rsidRPr="00C03F2D">
              <w:rPr>
                <w:rFonts w:ascii="Calibri" w:eastAsia="Times New Roman" w:hAnsi="Calibri" w:cs="Calibri"/>
                <w:color w:val="000000"/>
                <w:lang w:val="es-MX" w:eastAsia="es-MX"/>
              </w:rPr>
              <w:t>$136,712</w:t>
            </w:r>
          </w:p>
        </w:tc>
        <w:tc>
          <w:tcPr>
            <w:tcW w:w="0" w:type="auto"/>
            <w:tcBorders>
              <w:top w:val="nil"/>
              <w:left w:val="nil"/>
              <w:bottom w:val="single" w:sz="4" w:space="0" w:color="auto"/>
              <w:right w:val="single" w:sz="4" w:space="0" w:color="auto"/>
            </w:tcBorders>
            <w:shd w:val="clear" w:color="auto" w:fill="E7E6E6"/>
            <w:noWrap/>
            <w:tcMar>
              <w:top w:w="15" w:type="dxa"/>
              <w:left w:w="15" w:type="dxa"/>
              <w:bottom w:w="0" w:type="dxa"/>
              <w:right w:w="15" w:type="dxa"/>
            </w:tcMar>
            <w:vAlign w:val="bottom"/>
            <w:hideMark/>
          </w:tcPr>
          <w:p w14:paraId="31FA9C53" w14:textId="5B714918" w:rsidR="00FC4654" w:rsidRPr="00FC4654" w:rsidRDefault="00C03F2D" w:rsidP="00FC4654">
            <w:pPr>
              <w:spacing w:after="0" w:line="240" w:lineRule="auto"/>
              <w:jc w:val="right"/>
              <w:rPr>
                <w:rFonts w:ascii="Calibri" w:eastAsia="Times New Roman" w:hAnsi="Calibri" w:cs="Calibri"/>
                <w:color w:val="000000"/>
                <w:lang w:val="es-MX" w:eastAsia="es-MX"/>
              </w:rPr>
            </w:pPr>
            <w:r w:rsidRPr="00C03F2D">
              <w:rPr>
                <w:rFonts w:ascii="Calibri" w:eastAsia="Times New Roman" w:hAnsi="Calibri" w:cs="Calibri"/>
                <w:color w:val="000000"/>
                <w:lang w:val="es-MX" w:eastAsia="es-MX"/>
              </w:rPr>
              <w:t>$121,858</w:t>
            </w:r>
          </w:p>
        </w:tc>
        <w:tc>
          <w:tcPr>
            <w:tcW w:w="0" w:type="auto"/>
            <w:tcBorders>
              <w:top w:val="nil"/>
              <w:left w:val="nil"/>
              <w:bottom w:val="single" w:sz="4" w:space="0" w:color="auto"/>
              <w:right w:val="single" w:sz="4" w:space="0" w:color="auto"/>
            </w:tcBorders>
            <w:shd w:val="clear" w:color="auto" w:fill="E7E6E6"/>
            <w:noWrap/>
            <w:tcMar>
              <w:top w:w="15" w:type="dxa"/>
              <w:left w:w="15" w:type="dxa"/>
              <w:bottom w:w="0" w:type="dxa"/>
              <w:right w:w="15" w:type="dxa"/>
            </w:tcMar>
            <w:vAlign w:val="bottom"/>
            <w:hideMark/>
          </w:tcPr>
          <w:p w14:paraId="764BE55B" w14:textId="2F0C4732" w:rsidR="00FC4654" w:rsidRPr="00FC4654" w:rsidRDefault="00C03F2D" w:rsidP="00FC4654">
            <w:pPr>
              <w:spacing w:after="0" w:line="240" w:lineRule="auto"/>
              <w:jc w:val="right"/>
              <w:rPr>
                <w:rFonts w:ascii="Calibri" w:eastAsia="Times New Roman" w:hAnsi="Calibri" w:cs="Calibri"/>
                <w:color w:val="000000"/>
                <w:lang w:val="es-MX" w:eastAsia="es-MX"/>
              </w:rPr>
            </w:pPr>
            <w:r w:rsidRPr="00C03F2D">
              <w:rPr>
                <w:rFonts w:ascii="Calibri" w:eastAsia="Times New Roman" w:hAnsi="Calibri" w:cs="Calibri"/>
                <w:color w:val="000000"/>
                <w:lang w:val="es-MX" w:eastAsia="es-MX"/>
              </w:rPr>
              <w:t>$96,136</w:t>
            </w:r>
          </w:p>
        </w:tc>
      </w:tr>
    </w:tbl>
    <w:p w14:paraId="29876394" w14:textId="77777777" w:rsidR="00FC4654" w:rsidRPr="00FC4654" w:rsidRDefault="00FC4654" w:rsidP="00FC4654">
      <w:pPr>
        <w:spacing w:after="0" w:line="240" w:lineRule="auto"/>
        <w:rPr>
          <w:rFonts w:ascii="Times New Roman" w:eastAsia="Times New Roman" w:hAnsi="Times New Roman" w:cs="Times New Roman"/>
          <w:sz w:val="24"/>
          <w:szCs w:val="24"/>
          <w:lang w:val="es-MX" w:eastAsia="es-MX"/>
        </w:rPr>
      </w:pPr>
    </w:p>
    <w:p w14:paraId="4A03EC8C" w14:textId="4A54414E" w:rsidR="00FC4654" w:rsidRPr="00FC4654" w:rsidRDefault="00FC4654" w:rsidP="00FC4654">
      <w:pPr>
        <w:spacing w:after="0" w:line="240" w:lineRule="auto"/>
        <w:rPr>
          <w:rFonts w:ascii="Times New Roman" w:eastAsia="Times New Roman" w:hAnsi="Times New Roman" w:cs="Times New Roman"/>
          <w:sz w:val="24"/>
          <w:szCs w:val="24"/>
          <w:lang w:val="es-MX" w:eastAsia="es-MX"/>
        </w:rPr>
      </w:pPr>
    </w:p>
    <w:p w14:paraId="13969127" w14:textId="5944491B" w:rsidR="00FC4654" w:rsidRPr="00FC4654" w:rsidRDefault="00FC4654" w:rsidP="00FC4654">
      <w:pPr>
        <w:spacing w:after="0" w:line="240" w:lineRule="auto"/>
        <w:rPr>
          <w:rFonts w:ascii="Times New Roman" w:eastAsia="Times New Roman" w:hAnsi="Times New Roman" w:cs="Times New Roman"/>
          <w:sz w:val="24"/>
          <w:szCs w:val="24"/>
          <w:lang w:eastAsia="es-MX"/>
        </w:rPr>
      </w:pPr>
      <w:r w:rsidRPr="00FC4654">
        <w:rPr>
          <w:rFonts w:ascii="Times New Roman" w:eastAsia="Times New Roman" w:hAnsi="Times New Roman" w:cs="Times New Roman"/>
          <w:b/>
          <w:bCs/>
          <w:sz w:val="24"/>
          <w:szCs w:val="24"/>
          <w:lang w:eastAsia="es-MX"/>
        </w:rPr>
        <w:t>Permit Processing Times (in months)</w:t>
      </w:r>
    </w:p>
    <w:p w14:paraId="186E4046" w14:textId="53E159FF" w:rsidR="00FC4654" w:rsidRPr="00FC4654" w:rsidRDefault="00253FFE" w:rsidP="00FC4654">
      <w:pPr>
        <w:spacing w:line="209" w:lineRule="atLeast"/>
        <w:rPr>
          <w:rFonts w:ascii="Calibri" w:eastAsia="Times New Roman" w:hAnsi="Calibri" w:cs="Calibri"/>
          <w:sz w:val="24"/>
          <w:szCs w:val="24"/>
          <w:lang w:eastAsia="es-MX"/>
        </w:rPr>
      </w:pPr>
      <w:r w:rsidRPr="00253FFE">
        <w:drawing>
          <wp:inline distT="0" distB="0" distL="0" distR="0" wp14:anchorId="6F6BA8EF" wp14:editId="02FB76A9">
            <wp:extent cx="5943600" cy="30257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025775"/>
                    </a:xfrm>
                    <a:prstGeom prst="rect">
                      <a:avLst/>
                    </a:prstGeom>
                    <a:noFill/>
                    <a:ln>
                      <a:noFill/>
                    </a:ln>
                  </pic:spPr>
                </pic:pic>
              </a:graphicData>
            </a:graphic>
          </wp:inline>
        </w:drawing>
      </w:r>
    </w:p>
    <w:p w14:paraId="58A46E0F" w14:textId="77777777" w:rsidR="00FC4654" w:rsidRPr="00FC4654" w:rsidRDefault="00FC4654" w:rsidP="00FC4654">
      <w:pPr>
        <w:spacing w:line="209" w:lineRule="atLeast"/>
        <w:rPr>
          <w:rFonts w:ascii="Calibri" w:eastAsia="Times New Roman" w:hAnsi="Calibri" w:cs="Calibri"/>
          <w:sz w:val="24"/>
          <w:szCs w:val="24"/>
          <w:lang w:eastAsia="es-MX"/>
        </w:rPr>
      </w:pPr>
      <w:r w:rsidRPr="00FC4654">
        <w:rPr>
          <w:rFonts w:ascii="Calibri" w:eastAsia="Times New Roman" w:hAnsi="Calibri" w:cs="Calibri"/>
          <w:b/>
          <w:bCs/>
          <w:sz w:val="27"/>
          <w:szCs w:val="27"/>
          <w:lang w:eastAsia="es-MX"/>
        </w:rPr>
        <w:t>Analyzing Above Data to Assess Constraints</w:t>
      </w:r>
    </w:p>
    <w:p w14:paraId="371F0ADE" w14:textId="77777777" w:rsidR="00FC4654" w:rsidRPr="00FC4654" w:rsidRDefault="00FC4654" w:rsidP="00FC4654">
      <w:pPr>
        <w:spacing w:line="235" w:lineRule="atLeast"/>
        <w:rPr>
          <w:rFonts w:ascii="Calibri" w:eastAsia="Times New Roman" w:hAnsi="Calibri" w:cs="Calibri"/>
          <w:lang w:eastAsia="es-MX"/>
        </w:rPr>
      </w:pPr>
      <w:r w:rsidRPr="00FC4654">
        <w:rPr>
          <w:rFonts w:ascii="Calibri" w:eastAsia="Times New Roman" w:hAnsi="Calibri" w:cs="Calibri"/>
          <w:lang w:eastAsia="es-MX"/>
        </w:rPr>
        <w:t>In general, the data above suggest that jurisdiction-imposed fees represent a small percentage of the overall cost to develop new housing. However, there are five situations in which jurisdictions or HCD might consider their fees or permitting processes a constraint on housing production:</w:t>
      </w:r>
      <w:r w:rsidRPr="00FC4654">
        <w:rPr>
          <w:rFonts w:ascii="Calibri" w:eastAsia="Times New Roman" w:hAnsi="Calibri" w:cs="Calibri"/>
          <w:lang w:eastAsia="es-MX"/>
        </w:rPr>
        <w:br/>
      </w:r>
      <w:r w:rsidRPr="00FC4654">
        <w:rPr>
          <w:rFonts w:ascii="Calibri" w:eastAsia="Times New Roman" w:hAnsi="Calibri" w:cs="Calibri"/>
          <w:lang w:eastAsia="es-MX"/>
        </w:rPr>
        <w:br/>
      </w:r>
      <w:r w:rsidRPr="00FC4654">
        <w:rPr>
          <w:rFonts w:ascii="Calibri" w:eastAsia="Times New Roman" w:hAnsi="Calibri" w:cs="Calibri"/>
          <w:b/>
          <w:bCs/>
          <w:lang w:eastAsia="es-MX"/>
        </w:rPr>
        <w:t>1. Fees Higher than Neighboring Jurisdictions </w:t>
      </w:r>
      <w:r w:rsidRPr="00FC4654">
        <w:rPr>
          <w:rFonts w:ascii="Calibri" w:eastAsia="Times New Roman" w:hAnsi="Calibri" w:cs="Calibri"/>
          <w:lang w:eastAsia="es-MX"/>
        </w:rPr>
        <w:t xml:space="preserve">- If a jurisdiction’s fees are significantly higher than </w:t>
      </w:r>
      <w:r w:rsidRPr="00FC4654">
        <w:rPr>
          <w:rFonts w:ascii="Calibri" w:eastAsia="Times New Roman" w:hAnsi="Calibri" w:cs="Calibri"/>
          <w:lang w:eastAsia="es-MX"/>
        </w:rPr>
        <w:lastRenderedPageBreak/>
        <w:t>neighboring or peer jurisdictions, the fees could have the impact of discouraging projects within the jurisdiction, even if the fees themselves are a relatively small percentage of overall development costs.</w:t>
      </w:r>
      <w:r w:rsidRPr="00FC4654">
        <w:rPr>
          <w:rFonts w:ascii="Calibri" w:eastAsia="Times New Roman" w:hAnsi="Calibri" w:cs="Calibri"/>
          <w:lang w:eastAsia="es-MX"/>
        </w:rPr>
        <w:br/>
      </w:r>
      <w:r w:rsidRPr="00FC4654">
        <w:rPr>
          <w:rFonts w:ascii="Calibri" w:eastAsia="Times New Roman" w:hAnsi="Calibri" w:cs="Calibri"/>
          <w:lang w:eastAsia="es-MX"/>
        </w:rPr>
        <w:br/>
      </w:r>
      <w:r w:rsidRPr="00FC4654">
        <w:rPr>
          <w:rFonts w:ascii="Calibri" w:eastAsia="Times New Roman" w:hAnsi="Calibri" w:cs="Calibri"/>
          <w:b/>
          <w:bCs/>
          <w:lang w:eastAsia="es-MX"/>
        </w:rPr>
        <w:t>2. Fees are a High Percentage of Overall Development Costs </w:t>
      </w:r>
      <w:r w:rsidRPr="00FC4654">
        <w:rPr>
          <w:rFonts w:ascii="Calibri" w:eastAsia="Times New Roman" w:hAnsi="Calibri" w:cs="Calibri"/>
          <w:lang w:eastAsia="es-MX"/>
        </w:rPr>
        <w:t>- Higher development costs generally result in the production of more housing units for wealthy residents, and fewer units for lower income -residents.</w:t>
      </w:r>
      <w:r w:rsidRPr="00FC4654">
        <w:rPr>
          <w:rFonts w:ascii="Calibri" w:eastAsia="Times New Roman" w:hAnsi="Calibri" w:cs="Calibri"/>
          <w:lang w:eastAsia="es-MX"/>
        </w:rPr>
        <w:br/>
      </w:r>
      <w:r w:rsidRPr="00FC4654">
        <w:rPr>
          <w:rFonts w:ascii="Calibri" w:eastAsia="Times New Roman" w:hAnsi="Calibri" w:cs="Calibri"/>
          <w:lang w:eastAsia="es-MX"/>
        </w:rPr>
        <w:br/>
      </w:r>
      <w:r w:rsidRPr="00FC4654">
        <w:rPr>
          <w:rFonts w:ascii="Calibri" w:eastAsia="Times New Roman" w:hAnsi="Calibri" w:cs="Calibri"/>
          <w:b/>
          <w:bCs/>
          <w:lang w:eastAsia="es-MX"/>
        </w:rPr>
        <w:t xml:space="preserve">3. Fees Disproportionately Impact Multi-family </w:t>
      </w:r>
      <w:proofErr w:type="gramStart"/>
      <w:r w:rsidRPr="00FC4654">
        <w:rPr>
          <w:rFonts w:ascii="Calibri" w:eastAsia="Times New Roman" w:hAnsi="Calibri" w:cs="Calibri"/>
          <w:b/>
          <w:bCs/>
          <w:lang w:eastAsia="es-MX"/>
        </w:rPr>
        <w:t>Housing</w:t>
      </w:r>
      <w:r w:rsidRPr="00FC4654">
        <w:rPr>
          <w:rFonts w:ascii="Calibri" w:eastAsia="Times New Roman" w:hAnsi="Calibri" w:cs="Calibri"/>
          <w:lang w:eastAsia="es-MX"/>
        </w:rPr>
        <w:t>  -</w:t>
      </w:r>
      <w:proofErr w:type="gramEnd"/>
      <w:r w:rsidRPr="00FC4654">
        <w:rPr>
          <w:rFonts w:ascii="Calibri" w:eastAsia="Times New Roman" w:hAnsi="Calibri" w:cs="Calibri"/>
          <w:lang w:eastAsia="es-MX"/>
        </w:rPr>
        <w:t xml:space="preserve"> If fees (per dwelling unit) are higher for multi-family construction than for single family construction within a jurisdiction, this could be seen as a constraint on more naturally affordable multi-family housing. This would be an AFFH concern.</w:t>
      </w:r>
    </w:p>
    <w:p w14:paraId="3CF0C32F" w14:textId="77777777" w:rsidR="00FC4654" w:rsidRPr="00FC4654" w:rsidRDefault="00FC4654" w:rsidP="00FC4654">
      <w:pPr>
        <w:spacing w:line="235" w:lineRule="atLeast"/>
        <w:rPr>
          <w:rFonts w:ascii="Calibri" w:eastAsia="Times New Roman" w:hAnsi="Calibri" w:cs="Calibri"/>
          <w:lang w:eastAsia="es-MX"/>
        </w:rPr>
      </w:pPr>
      <w:r w:rsidRPr="00FC4654">
        <w:rPr>
          <w:rFonts w:ascii="Calibri" w:eastAsia="Times New Roman" w:hAnsi="Calibri" w:cs="Calibri"/>
          <w:b/>
          <w:bCs/>
          <w:lang w:eastAsia="es-MX"/>
        </w:rPr>
        <w:t>4.</w:t>
      </w:r>
      <w:r w:rsidRPr="00FC4654">
        <w:rPr>
          <w:rFonts w:ascii="Calibri" w:eastAsia="Times New Roman" w:hAnsi="Calibri" w:cs="Calibri"/>
          <w:lang w:eastAsia="es-MX"/>
        </w:rPr>
        <w:t> </w:t>
      </w:r>
      <w:r w:rsidRPr="00FC4654">
        <w:rPr>
          <w:rFonts w:ascii="Calibri" w:eastAsia="Times New Roman" w:hAnsi="Calibri" w:cs="Calibri"/>
          <w:b/>
          <w:bCs/>
          <w:lang w:eastAsia="es-MX"/>
        </w:rPr>
        <w:t>Long Permit Processing Times</w:t>
      </w:r>
      <w:r w:rsidRPr="00FC4654">
        <w:rPr>
          <w:rFonts w:ascii="Calibri" w:eastAsia="Times New Roman" w:hAnsi="Calibri" w:cs="Calibri"/>
          <w:lang w:eastAsia="es-MX"/>
        </w:rPr>
        <w:t> - Long permitting processing times, or permit processes that have a high degree of uncertainty (</w:t>
      </w:r>
      <w:proofErr w:type="spellStart"/>
      <w:proofErr w:type="gramStart"/>
      <w:r w:rsidRPr="00FC4654">
        <w:rPr>
          <w:rFonts w:ascii="Calibri" w:eastAsia="Times New Roman" w:hAnsi="Calibri" w:cs="Calibri"/>
          <w:lang w:eastAsia="es-MX"/>
        </w:rPr>
        <w:t>ie</w:t>
      </w:r>
      <w:proofErr w:type="spellEnd"/>
      <w:proofErr w:type="gramEnd"/>
      <w:r w:rsidRPr="00FC4654">
        <w:rPr>
          <w:rFonts w:ascii="Calibri" w:eastAsia="Times New Roman" w:hAnsi="Calibri" w:cs="Calibri"/>
          <w:lang w:eastAsia="es-MX"/>
        </w:rPr>
        <w:t xml:space="preserve"> discretionary reviews or processes with multiple public meetings) increase the cost of housing development for developers, either by increasing their carrying costs as they wait for permits, or by increasing the chance that a project will be rejected after a long weight. In either case, a developer working in a jurisdiction with an onerous permitting process will demand higher profits to account for the increased risk, thereby increasing the overall development cost.</w:t>
      </w:r>
    </w:p>
    <w:p w14:paraId="7B7CC86C" w14:textId="77777777" w:rsidR="00FC4654" w:rsidRPr="00FC4654" w:rsidRDefault="00FC4654" w:rsidP="00FC4654">
      <w:pPr>
        <w:spacing w:line="235" w:lineRule="atLeast"/>
        <w:rPr>
          <w:rFonts w:ascii="Calibri" w:eastAsia="Times New Roman" w:hAnsi="Calibri" w:cs="Calibri"/>
          <w:lang w:eastAsia="es-MX"/>
        </w:rPr>
      </w:pPr>
      <w:r w:rsidRPr="00FC4654">
        <w:rPr>
          <w:rFonts w:ascii="Calibri" w:eastAsia="Times New Roman" w:hAnsi="Calibri" w:cs="Calibri"/>
          <w:b/>
          <w:bCs/>
          <w:lang w:eastAsia="es-MX"/>
        </w:rPr>
        <w:t>5. More Onerous Process for Multi-Family Units</w:t>
      </w:r>
      <w:r w:rsidRPr="00FC4654">
        <w:rPr>
          <w:rFonts w:ascii="Calibri" w:eastAsia="Times New Roman" w:hAnsi="Calibri" w:cs="Calibri"/>
          <w:lang w:eastAsia="es-MX"/>
        </w:rPr>
        <w:t> - Similar to number three, a permitting process that is more onerous or uncertain for multi-family units than for single family presents an AFFH concern, and could be considered a constraint on multi-family housing. </w:t>
      </w:r>
    </w:p>
    <w:p w14:paraId="5C00CC08" w14:textId="77777777" w:rsidR="00FC4654" w:rsidRDefault="00FC4654"/>
    <w:sectPr w:rsidR="00FC4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7AC"/>
    <w:rsid w:val="00195B99"/>
    <w:rsid w:val="00253FFE"/>
    <w:rsid w:val="003137AC"/>
    <w:rsid w:val="00A348FF"/>
    <w:rsid w:val="00C03F2D"/>
    <w:rsid w:val="00D302F3"/>
    <w:rsid w:val="00D3076D"/>
    <w:rsid w:val="00E3622E"/>
    <w:rsid w:val="00FC46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226B"/>
  <w15:chartTrackingRefBased/>
  <w15:docId w15:val="{AB6D7FF0-67DC-45B4-B2A0-560A6E52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0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7786">
      <w:bodyDiv w:val="1"/>
      <w:marLeft w:val="0"/>
      <w:marRight w:val="0"/>
      <w:marTop w:val="0"/>
      <w:marBottom w:val="0"/>
      <w:divBdr>
        <w:top w:val="none" w:sz="0" w:space="0" w:color="auto"/>
        <w:left w:val="none" w:sz="0" w:space="0" w:color="auto"/>
        <w:bottom w:val="none" w:sz="0" w:space="0" w:color="auto"/>
        <w:right w:val="none" w:sz="0" w:space="0" w:color="auto"/>
      </w:divBdr>
    </w:div>
    <w:div w:id="106629339">
      <w:bodyDiv w:val="1"/>
      <w:marLeft w:val="0"/>
      <w:marRight w:val="0"/>
      <w:marTop w:val="0"/>
      <w:marBottom w:val="0"/>
      <w:divBdr>
        <w:top w:val="none" w:sz="0" w:space="0" w:color="auto"/>
        <w:left w:val="none" w:sz="0" w:space="0" w:color="auto"/>
        <w:bottom w:val="none" w:sz="0" w:space="0" w:color="auto"/>
        <w:right w:val="none" w:sz="0" w:space="0" w:color="auto"/>
      </w:divBdr>
    </w:div>
    <w:div w:id="246154460">
      <w:bodyDiv w:val="1"/>
      <w:marLeft w:val="0"/>
      <w:marRight w:val="0"/>
      <w:marTop w:val="0"/>
      <w:marBottom w:val="0"/>
      <w:divBdr>
        <w:top w:val="none" w:sz="0" w:space="0" w:color="auto"/>
        <w:left w:val="none" w:sz="0" w:space="0" w:color="auto"/>
        <w:bottom w:val="none" w:sz="0" w:space="0" w:color="auto"/>
        <w:right w:val="none" w:sz="0" w:space="0" w:color="auto"/>
      </w:divBdr>
    </w:div>
    <w:div w:id="442965554">
      <w:bodyDiv w:val="1"/>
      <w:marLeft w:val="0"/>
      <w:marRight w:val="0"/>
      <w:marTop w:val="0"/>
      <w:marBottom w:val="0"/>
      <w:divBdr>
        <w:top w:val="none" w:sz="0" w:space="0" w:color="auto"/>
        <w:left w:val="none" w:sz="0" w:space="0" w:color="auto"/>
        <w:bottom w:val="none" w:sz="0" w:space="0" w:color="auto"/>
        <w:right w:val="none" w:sz="0" w:space="0" w:color="auto"/>
      </w:divBdr>
    </w:div>
    <w:div w:id="510334796">
      <w:bodyDiv w:val="1"/>
      <w:marLeft w:val="0"/>
      <w:marRight w:val="0"/>
      <w:marTop w:val="0"/>
      <w:marBottom w:val="0"/>
      <w:divBdr>
        <w:top w:val="none" w:sz="0" w:space="0" w:color="auto"/>
        <w:left w:val="none" w:sz="0" w:space="0" w:color="auto"/>
        <w:bottom w:val="none" w:sz="0" w:space="0" w:color="auto"/>
        <w:right w:val="none" w:sz="0" w:space="0" w:color="auto"/>
      </w:divBdr>
    </w:div>
    <w:div w:id="589236698">
      <w:bodyDiv w:val="1"/>
      <w:marLeft w:val="0"/>
      <w:marRight w:val="0"/>
      <w:marTop w:val="0"/>
      <w:marBottom w:val="0"/>
      <w:divBdr>
        <w:top w:val="none" w:sz="0" w:space="0" w:color="auto"/>
        <w:left w:val="none" w:sz="0" w:space="0" w:color="auto"/>
        <w:bottom w:val="none" w:sz="0" w:space="0" w:color="auto"/>
        <w:right w:val="none" w:sz="0" w:space="0" w:color="auto"/>
      </w:divBdr>
    </w:div>
    <w:div w:id="733550902">
      <w:bodyDiv w:val="1"/>
      <w:marLeft w:val="0"/>
      <w:marRight w:val="0"/>
      <w:marTop w:val="0"/>
      <w:marBottom w:val="0"/>
      <w:divBdr>
        <w:top w:val="none" w:sz="0" w:space="0" w:color="auto"/>
        <w:left w:val="none" w:sz="0" w:space="0" w:color="auto"/>
        <w:bottom w:val="none" w:sz="0" w:space="0" w:color="auto"/>
        <w:right w:val="none" w:sz="0" w:space="0" w:color="auto"/>
      </w:divBdr>
    </w:div>
    <w:div w:id="744843392">
      <w:bodyDiv w:val="1"/>
      <w:marLeft w:val="0"/>
      <w:marRight w:val="0"/>
      <w:marTop w:val="0"/>
      <w:marBottom w:val="0"/>
      <w:divBdr>
        <w:top w:val="none" w:sz="0" w:space="0" w:color="auto"/>
        <w:left w:val="none" w:sz="0" w:space="0" w:color="auto"/>
        <w:bottom w:val="none" w:sz="0" w:space="0" w:color="auto"/>
        <w:right w:val="none" w:sz="0" w:space="0" w:color="auto"/>
      </w:divBdr>
    </w:div>
    <w:div w:id="804127829">
      <w:bodyDiv w:val="1"/>
      <w:marLeft w:val="0"/>
      <w:marRight w:val="0"/>
      <w:marTop w:val="0"/>
      <w:marBottom w:val="0"/>
      <w:divBdr>
        <w:top w:val="none" w:sz="0" w:space="0" w:color="auto"/>
        <w:left w:val="none" w:sz="0" w:space="0" w:color="auto"/>
        <w:bottom w:val="none" w:sz="0" w:space="0" w:color="auto"/>
        <w:right w:val="none" w:sz="0" w:space="0" w:color="auto"/>
      </w:divBdr>
    </w:div>
    <w:div w:id="924648325">
      <w:bodyDiv w:val="1"/>
      <w:marLeft w:val="0"/>
      <w:marRight w:val="0"/>
      <w:marTop w:val="0"/>
      <w:marBottom w:val="0"/>
      <w:divBdr>
        <w:top w:val="none" w:sz="0" w:space="0" w:color="auto"/>
        <w:left w:val="none" w:sz="0" w:space="0" w:color="auto"/>
        <w:bottom w:val="none" w:sz="0" w:space="0" w:color="auto"/>
        <w:right w:val="none" w:sz="0" w:space="0" w:color="auto"/>
      </w:divBdr>
    </w:div>
    <w:div w:id="959186814">
      <w:bodyDiv w:val="1"/>
      <w:marLeft w:val="0"/>
      <w:marRight w:val="0"/>
      <w:marTop w:val="0"/>
      <w:marBottom w:val="0"/>
      <w:divBdr>
        <w:top w:val="none" w:sz="0" w:space="0" w:color="auto"/>
        <w:left w:val="none" w:sz="0" w:space="0" w:color="auto"/>
        <w:bottom w:val="none" w:sz="0" w:space="0" w:color="auto"/>
        <w:right w:val="none" w:sz="0" w:space="0" w:color="auto"/>
      </w:divBdr>
    </w:div>
    <w:div w:id="981344425">
      <w:bodyDiv w:val="1"/>
      <w:marLeft w:val="0"/>
      <w:marRight w:val="0"/>
      <w:marTop w:val="0"/>
      <w:marBottom w:val="0"/>
      <w:divBdr>
        <w:top w:val="none" w:sz="0" w:space="0" w:color="auto"/>
        <w:left w:val="none" w:sz="0" w:space="0" w:color="auto"/>
        <w:bottom w:val="none" w:sz="0" w:space="0" w:color="auto"/>
        <w:right w:val="none" w:sz="0" w:space="0" w:color="auto"/>
      </w:divBdr>
    </w:div>
    <w:div w:id="1043284175">
      <w:bodyDiv w:val="1"/>
      <w:marLeft w:val="0"/>
      <w:marRight w:val="0"/>
      <w:marTop w:val="0"/>
      <w:marBottom w:val="0"/>
      <w:divBdr>
        <w:top w:val="none" w:sz="0" w:space="0" w:color="auto"/>
        <w:left w:val="none" w:sz="0" w:space="0" w:color="auto"/>
        <w:bottom w:val="none" w:sz="0" w:space="0" w:color="auto"/>
        <w:right w:val="none" w:sz="0" w:space="0" w:color="auto"/>
      </w:divBdr>
    </w:div>
    <w:div w:id="1059399038">
      <w:bodyDiv w:val="1"/>
      <w:marLeft w:val="0"/>
      <w:marRight w:val="0"/>
      <w:marTop w:val="0"/>
      <w:marBottom w:val="0"/>
      <w:divBdr>
        <w:top w:val="none" w:sz="0" w:space="0" w:color="auto"/>
        <w:left w:val="none" w:sz="0" w:space="0" w:color="auto"/>
        <w:bottom w:val="none" w:sz="0" w:space="0" w:color="auto"/>
        <w:right w:val="none" w:sz="0" w:space="0" w:color="auto"/>
      </w:divBdr>
    </w:div>
    <w:div w:id="1137456424">
      <w:bodyDiv w:val="1"/>
      <w:marLeft w:val="0"/>
      <w:marRight w:val="0"/>
      <w:marTop w:val="0"/>
      <w:marBottom w:val="0"/>
      <w:divBdr>
        <w:top w:val="none" w:sz="0" w:space="0" w:color="auto"/>
        <w:left w:val="none" w:sz="0" w:space="0" w:color="auto"/>
        <w:bottom w:val="none" w:sz="0" w:space="0" w:color="auto"/>
        <w:right w:val="none" w:sz="0" w:space="0" w:color="auto"/>
      </w:divBdr>
    </w:div>
    <w:div w:id="1142650805">
      <w:bodyDiv w:val="1"/>
      <w:marLeft w:val="0"/>
      <w:marRight w:val="0"/>
      <w:marTop w:val="0"/>
      <w:marBottom w:val="0"/>
      <w:divBdr>
        <w:top w:val="none" w:sz="0" w:space="0" w:color="auto"/>
        <w:left w:val="none" w:sz="0" w:space="0" w:color="auto"/>
        <w:bottom w:val="none" w:sz="0" w:space="0" w:color="auto"/>
        <w:right w:val="none" w:sz="0" w:space="0" w:color="auto"/>
      </w:divBdr>
    </w:div>
    <w:div w:id="1243489684">
      <w:bodyDiv w:val="1"/>
      <w:marLeft w:val="0"/>
      <w:marRight w:val="0"/>
      <w:marTop w:val="0"/>
      <w:marBottom w:val="0"/>
      <w:divBdr>
        <w:top w:val="none" w:sz="0" w:space="0" w:color="auto"/>
        <w:left w:val="none" w:sz="0" w:space="0" w:color="auto"/>
        <w:bottom w:val="none" w:sz="0" w:space="0" w:color="auto"/>
        <w:right w:val="none" w:sz="0" w:space="0" w:color="auto"/>
      </w:divBdr>
    </w:div>
    <w:div w:id="1293513282">
      <w:bodyDiv w:val="1"/>
      <w:marLeft w:val="0"/>
      <w:marRight w:val="0"/>
      <w:marTop w:val="0"/>
      <w:marBottom w:val="0"/>
      <w:divBdr>
        <w:top w:val="none" w:sz="0" w:space="0" w:color="auto"/>
        <w:left w:val="none" w:sz="0" w:space="0" w:color="auto"/>
        <w:bottom w:val="none" w:sz="0" w:space="0" w:color="auto"/>
        <w:right w:val="none" w:sz="0" w:space="0" w:color="auto"/>
      </w:divBdr>
    </w:div>
    <w:div w:id="1390609467">
      <w:bodyDiv w:val="1"/>
      <w:marLeft w:val="0"/>
      <w:marRight w:val="0"/>
      <w:marTop w:val="0"/>
      <w:marBottom w:val="0"/>
      <w:divBdr>
        <w:top w:val="none" w:sz="0" w:space="0" w:color="auto"/>
        <w:left w:val="none" w:sz="0" w:space="0" w:color="auto"/>
        <w:bottom w:val="none" w:sz="0" w:space="0" w:color="auto"/>
        <w:right w:val="none" w:sz="0" w:space="0" w:color="auto"/>
      </w:divBdr>
    </w:div>
    <w:div w:id="1407456948">
      <w:bodyDiv w:val="1"/>
      <w:marLeft w:val="0"/>
      <w:marRight w:val="0"/>
      <w:marTop w:val="0"/>
      <w:marBottom w:val="0"/>
      <w:divBdr>
        <w:top w:val="none" w:sz="0" w:space="0" w:color="auto"/>
        <w:left w:val="none" w:sz="0" w:space="0" w:color="auto"/>
        <w:bottom w:val="none" w:sz="0" w:space="0" w:color="auto"/>
        <w:right w:val="none" w:sz="0" w:space="0" w:color="auto"/>
      </w:divBdr>
    </w:div>
    <w:div w:id="1574899631">
      <w:bodyDiv w:val="1"/>
      <w:marLeft w:val="0"/>
      <w:marRight w:val="0"/>
      <w:marTop w:val="0"/>
      <w:marBottom w:val="0"/>
      <w:divBdr>
        <w:top w:val="none" w:sz="0" w:space="0" w:color="auto"/>
        <w:left w:val="none" w:sz="0" w:space="0" w:color="auto"/>
        <w:bottom w:val="none" w:sz="0" w:space="0" w:color="auto"/>
        <w:right w:val="none" w:sz="0" w:space="0" w:color="auto"/>
      </w:divBdr>
      <w:divsChild>
        <w:div w:id="282153799">
          <w:marLeft w:val="0"/>
          <w:marRight w:val="0"/>
          <w:marTop w:val="0"/>
          <w:marBottom w:val="0"/>
          <w:divBdr>
            <w:top w:val="none" w:sz="0" w:space="0" w:color="auto"/>
            <w:left w:val="none" w:sz="0" w:space="0" w:color="auto"/>
            <w:bottom w:val="none" w:sz="0" w:space="0" w:color="auto"/>
            <w:right w:val="none" w:sz="0" w:space="0" w:color="auto"/>
          </w:divBdr>
        </w:div>
        <w:div w:id="1488978880">
          <w:marLeft w:val="0"/>
          <w:marRight w:val="0"/>
          <w:marTop w:val="0"/>
          <w:marBottom w:val="0"/>
          <w:divBdr>
            <w:top w:val="none" w:sz="0" w:space="0" w:color="auto"/>
            <w:left w:val="none" w:sz="0" w:space="0" w:color="auto"/>
            <w:bottom w:val="none" w:sz="0" w:space="0" w:color="auto"/>
            <w:right w:val="none" w:sz="0" w:space="0" w:color="auto"/>
          </w:divBdr>
        </w:div>
        <w:div w:id="1988513783">
          <w:marLeft w:val="0"/>
          <w:marRight w:val="0"/>
          <w:marTop w:val="0"/>
          <w:marBottom w:val="0"/>
          <w:divBdr>
            <w:top w:val="none" w:sz="0" w:space="0" w:color="auto"/>
            <w:left w:val="none" w:sz="0" w:space="0" w:color="auto"/>
            <w:bottom w:val="none" w:sz="0" w:space="0" w:color="auto"/>
            <w:right w:val="none" w:sz="0" w:space="0" w:color="auto"/>
          </w:divBdr>
        </w:div>
        <w:div w:id="1715301757">
          <w:marLeft w:val="0"/>
          <w:marRight w:val="0"/>
          <w:marTop w:val="0"/>
          <w:marBottom w:val="0"/>
          <w:divBdr>
            <w:top w:val="none" w:sz="0" w:space="0" w:color="auto"/>
            <w:left w:val="none" w:sz="0" w:space="0" w:color="auto"/>
            <w:bottom w:val="none" w:sz="0" w:space="0" w:color="auto"/>
            <w:right w:val="none" w:sz="0" w:space="0" w:color="auto"/>
          </w:divBdr>
        </w:div>
        <w:div w:id="1949267281">
          <w:marLeft w:val="0"/>
          <w:marRight w:val="0"/>
          <w:marTop w:val="0"/>
          <w:marBottom w:val="0"/>
          <w:divBdr>
            <w:top w:val="none" w:sz="0" w:space="0" w:color="auto"/>
            <w:left w:val="none" w:sz="0" w:space="0" w:color="auto"/>
            <w:bottom w:val="none" w:sz="0" w:space="0" w:color="auto"/>
            <w:right w:val="none" w:sz="0" w:space="0" w:color="auto"/>
          </w:divBdr>
        </w:div>
        <w:div w:id="1509949552">
          <w:marLeft w:val="0"/>
          <w:marRight w:val="0"/>
          <w:marTop w:val="0"/>
          <w:marBottom w:val="0"/>
          <w:divBdr>
            <w:top w:val="none" w:sz="0" w:space="0" w:color="auto"/>
            <w:left w:val="none" w:sz="0" w:space="0" w:color="auto"/>
            <w:bottom w:val="none" w:sz="0" w:space="0" w:color="auto"/>
            <w:right w:val="none" w:sz="0" w:space="0" w:color="auto"/>
          </w:divBdr>
        </w:div>
        <w:div w:id="1379206065">
          <w:marLeft w:val="0"/>
          <w:marRight w:val="0"/>
          <w:marTop w:val="0"/>
          <w:marBottom w:val="0"/>
          <w:divBdr>
            <w:top w:val="none" w:sz="0" w:space="0" w:color="auto"/>
            <w:left w:val="none" w:sz="0" w:space="0" w:color="auto"/>
            <w:bottom w:val="none" w:sz="0" w:space="0" w:color="auto"/>
            <w:right w:val="none" w:sz="0" w:space="0" w:color="auto"/>
          </w:divBdr>
        </w:div>
        <w:div w:id="760641153">
          <w:marLeft w:val="0"/>
          <w:marRight w:val="0"/>
          <w:marTop w:val="0"/>
          <w:marBottom w:val="0"/>
          <w:divBdr>
            <w:top w:val="none" w:sz="0" w:space="0" w:color="auto"/>
            <w:left w:val="none" w:sz="0" w:space="0" w:color="auto"/>
            <w:bottom w:val="none" w:sz="0" w:space="0" w:color="auto"/>
            <w:right w:val="none" w:sz="0" w:space="0" w:color="auto"/>
          </w:divBdr>
        </w:div>
        <w:div w:id="1317104795">
          <w:marLeft w:val="0"/>
          <w:marRight w:val="0"/>
          <w:marTop w:val="0"/>
          <w:marBottom w:val="0"/>
          <w:divBdr>
            <w:top w:val="none" w:sz="0" w:space="0" w:color="auto"/>
            <w:left w:val="none" w:sz="0" w:space="0" w:color="auto"/>
            <w:bottom w:val="none" w:sz="0" w:space="0" w:color="auto"/>
            <w:right w:val="none" w:sz="0" w:space="0" w:color="auto"/>
          </w:divBdr>
        </w:div>
        <w:div w:id="611129511">
          <w:marLeft w:val="0"/>
          <w:marRight w:val="0"/>
          <w:marTop w:val="0"/>
          <w:marBottom w:val="0"/>
          <w:divBdr>
            <w:top w:val="none" w:sz="0" w:space="0" w:color="auto"/>
            <w:left w:val="none" w:sz="0" w:space="0" w:color="auto"/>
            <w:bottom w:val="none" w:sz="0" w:space="0" w:color="auto"/>
            <w:right w:val="none" w:sz="0" w:space="0" w:color="auto"/>
          </w:divBdr>
        </w:div>
        <w:div w:id="1186482135">
          <w:marLeft w:val="0"/>
          <w:marRight w:val="0"/>
          <w:marTop w:val="0"/>
          <w:marBottom w:val="0"/>
          <w:divBdr>
            <w:top w:val="none" w:sz="0" w:space="0" w:color="auto"/>
            <w:left w:val="none" w:sz="0" w:space="0" w:color="auto"/>
            <w:bottom w:val="none" w:sz="0" w:space="0" w:color="auto"/>
            <w:right w:val="none" w:sz="0" w:space="0" w:color="auto"/>
          </w:divBdr>
        </w:div>
        <w:div w:id="1907689602">
          <w:marLeft w:val="0"/>
          <w:marRight w:val="0"/>
          <w:marTop w:val="0"/>
          <w:marBottom w:val="0"/>
          <w:divBdr>
            <w:top w:val="none" w:sz="0" w:space="0" w:color="auto"/>
            <w:left w:val="none" w:sz="0" w:space="0" w:color="auto"/>
            <w:bottom w:val="none" w:sz="0" w:space="0" w:color="auto"/>
            <w:right w:val="none" w:sz="0" w:space="0" w:color="auto"/>
          </w:divBdr>
          <w:divsChild>
            <w:div w:id="507209804">
              <w:marLeft w:val="0"/>
              <w:marRight w:val="0"/>
              <w:marTop w:val="0"/>
              <w:marBottom w:val="0"/>
              <w:divBdr>
                <w:top w:val="none" w:sz="0" w:space="0" w:color="auto"/>
                <w:left w:val="none" w:sz="0" w:space="0" w:color="auto"/>
                <w:bottom w:val="none" w:sz="0" w:space="0" w:color="auto"/>
                <w:right w:val="none" w:sz="0" w:space="0" w:color="auto"/>
              </w:divBdr>
            </w:div>
            <w:div w:id="1174222128">
              <w:marLeft w:val="0"/>
              <w:marRight w:val="0"/>
              <w:marTop w:val="0"/>
              <w:marBottom w:val="0"/>
              <w:divBdr>
                <w:top w:val="none" w:sz="0" w:space="0" w:color="auto"/>
                <w:left w:val="none" w:sz="0" w:space="0" w:color="auto"/>
                <w:bottom w:val="none" w:sz="0" w:space="0" w:color="auto"/>
                <w:right w:val="none" w:sz="0" w:space="0" w:color="auto"/>
              </w:divBdr>
            </w:div>
            <w:div w:id="35931230">
              <w:marLeft w:val="0"/>
              <w:marRight w:val="0"/>
              <w:marTop w:val="0"/>
              <w:marBottom w:val="0"/>
              <w:divBdr>
                <w:top w:val="none" w:sz="0" w:space="0" w:color="auto"/>
                <w:left w:val="none" w:sz="0" w:space="0" w:color="auto"/>
                <w:bottom w:val="none" w:sz="0" w:space="0" w:color="auto"/>
                <w:right w:val="none" w:sz="0" w:space="0" w:color="auto"/>
              </w:divBdr>
            </w:div>
            <w:div w:id="1404137798">
              <w:marLeft w:val="0"/>
              <w:marRight w:val="0"/>
              <w:marTop w:val="0"/>
              <w:marBottom w:val="0"/>
              <w:divBdr>
                <w:top w:val="none" w:sz="0" w:space="0" w:color="auto"/>
                <w:left w:val="none" w:sz="0" w:space="0" w:color="auto"/>
                <w:bottom w:val="none" w:sz="0" w:space="0" w:color="auto"/>
                <w:right w:val="none" w:sz="0" w:space="0" w:color="auto"/>
              </w:divBdr>
            </w:div>
            <w:div w:id="562914538">
              <w:marLeft w:val="0"/>
              <w:marRight w:val="0"/>
              <w:marTop w:val="0"/>
              <w:marBottom w:val="0"/>
              <w:divBdr>
                <w:top w:val="none" w:sz="0" w:space="0" w:color="auto"/>
                <w:left w:val="none" w:sz="0" w:space="0" w:color="auto"/>
                <w:bottom w:val="none" w:sz="0" w:space="0" w:color="auto"/>
                <w:right w:val="none" w:sz="0" w:space="0" w:color="auto"/>
              </w:divBdr>
            </w:div>
            <w:div w:id="1664336">
              <w:marLeft w:val="0"/>
              <w:marRight w:val="0"/>
              <w:marTop w:val="0"/>
              <w:marBottom w:val="0"/>
              <w:divBdr>
                <w:top w:val="none" w:sz="0" w:space="0" w:color="auto"/>
                <w:left w:val="none" w:sz="0" w:space="0" w:color="auto"/>
                <w:bottom w:val="none" w:sz="0" w:space="0" w:color="auto"/>
                <w:right w:val="none" w:sz="0" w:space="0" w:color="auto"/>
              </w:divBdr>
            </w:div>
            <w:div w:id="1210457944">
              <w:marLeft w:val="0"/>
              <w:marRight w:val="0"/>
              <w:marTop w:val="0"/>
              <w:marBottom w:val="0"/>
              <w:divBdr>
                <w:top w:val="none" w:sz="0" w:space="0" w:color="auto"/>
                <w:left w:val="none" w:sz="0" w:space="0" w:color="auto"/>
                <w:bottom w:val="none" w:sz="0" w:space="0" w:color="auto"/>
                <w:right w:val="none" w:sz="0" w:space="0" w:color="auto"/>
              </w:divBdr>
            </w:div>
            <w:div w:id="203293020">
              <w:marLeft w:val="0"/>
              <w:marRight w:val="0"/>
              <w:marTop w:val="0"/>
              <w:marBottom w:val="0"/>
              <w:divBdr>
                <w:top w:val="none" w:sz="0" w:space="0" w:color="auto"/>
                <w:left w:val="none" w:sz="0" w:space="0" w:color="auto"/>
                <w:bottom w:val="none" w:sz="0" w:space="0" w:color="auto"/>
                <w:right w:val="none" w:sz="0" w:space="0" w:color="auto"/>
              </w:divBdr>
            </w:div>
            <w:div w:id="726340290">
              <w:marLeft w:val="0"/>
              <w:marRight w:val="0"/>
              <w:marTop w:val="0"/>
              <w:marBottom w:val="0"/>
              <w:divBdr>
                <w:top w:val="none" w:sz="0" w:space="0" w:color="auto"/>
                <w:left w:val="none" w:sz="0" w:space="0" w:color="auto"/>
                <w:bottom w:val="none" w:sz="0" w:space="0" w:color="auto"/>
                <w:right w:val="none" w:sz="0" w:space="0" w:color="auto"/>
              </w:divBdr>
            </w:div>
            <w:div w:id="553541295">
              <w:marLeft w:val="0"/>
              <w:marRight w:val="0"/>
              <w:marTop w:val="0"/>
              <w:marBottom w:val="0"/>
              <w:divBdr>
                <w:top w:val="none" w:sz="0" w:space="0" w:color="auto"/>
                <w:left w:val="none" w:sz="0" w:space="0" w:color="auto"/>
                <w:bottom w:val="none" w:sz="0" w:space="0" w:color="auto"/>
                <w:right w:val="none" w:sz="0" w:space="0" w:color="auto"/>
              </w:divBdr>
            </w:div>
            <w:div w:id="1902057771">
              <w:marLeft w:val="0"/>
              <w:marRight w:val="0"/>
              <w:marTop w:val="0"/>
              <w:marBottom w:val="0"/>
              <w:divBdr>
                <w:top w:val="none" w:sz="0" w:space="0" w:color="auto"/>
                <w:left w:val="none" w:sz="0" w:space="0" w:color="auto"/>
                <w:bottom w:val="none" w:sz="0" w:space="0" w:color="auto"/>
                <w:right w:val="none" w:sz="0" w:space="0" w:color="auto"/>
              </w:divBdr>
            </w:div>
            <w:div w:id="326172784">
              <w:marLeft w:val="0"/>
              <w:marRight w:val="0"/>
              <w:marTop w:val="0"/>
              <w:marBottom w:val="0"/>
              <w:divBdr>
                <w:top w:val="none" w:sz="0" w:space="0" w:color="auto"/>
                <w:left w:val="none" w:sz="0" w:space="0" w:color="auto"/>
                <w:bottom w:val="none" w:sz="0" w:space="0" w:color="auto"/>
                <w:right w:val="none" w:sz="0" w:space="0" w:color="auto"/>
              </w:divBdr>
            </w:div>
            <w:div w:id="824862569">
              <w:marLeft w:val="0"/>
              <w:marRight w:val="0"/>
              <w:marTop w:val="0"/>
              <w:marBottom w:val="0"/>
              <w:divBdr>
                <w:top w:val="none" w:sz="0" w:space="0" w:color="auto"/>
                <w:left w:val="none" w:sz="0" w:space="0" w:color="auto"/>
                <w:bottom w:val="none" w:sz="0" w:space="0" w:color="auto"/>
                <w:right w:val="none" w:sz="0" w:space="0" w:color="auto"/>
              </w:divBdr>
            </w:div>
            <w:div w:id="1601837558">
              <w:marLeft w:val="0"/>
              <w:marRight w:val="0"/>
              <w:marTop w:val="0"/>
              <w:marBottom w:val="0"/>
              <w:divBdr>
                <w:top w:val="none" w:sz="0" w:space="0" w:color="auto"/>
                <w:left w:val="none" w:sz="0" w:space="0" w:color="auto"/>
                <w:bottom w:val="none" w:sz="0" w:space="0" w:color="auto"/>
                <w:right w:val="none" w:sz="0" w:space="0" w:color="auto"/>
              </w:divBdr>
            </w:div>
            <w:div w:id="51933298">
              <w:marLeft w:val="0"/>
              <w:marRight w:val="0"/>
              <w:marTop w:val="0"/>
              <w:marBottom w:val="0"/>
              <w:divBdr>
                <w:top w:val="none" w:sz="0" w:space="0" w:color="auto"/>
                <w:left w:val="none" w:sz="0" w:space="0" w:color="auto"/>
                <w:bottom w:val="none" w:sz="0" w:space="0" w:color="auto"/>
                <w:right w:val="none" w:sz="0" w:space="0" w:color="auto"/>
              </w:divBdr>
            </w:div>
            <w:div w:id="1601257297">
              <w:marLeft w:val="0"/>
              <w:marRight w:val="0"/>
              <w:marTop w:val="0"/>
              <w:marBottom w:val="0"/>
              <w:divBdr>
                <w:top w:val="none" w:sz="0" w:space="0" w:color="auto"/>
                <w:left w:val="none" w:sz="0" w:space="0" w:color="auto"/>
                <w:bottom w:val="none" w:sz="0" w:space="0" w:color="auto"/>
                <w:right w:val="none" w:sz="0" w:space="0" w:color="auto"/>
              </w:divBdr>
            </w:div>
            <w:div w:id="339163987">
              <w:marLeft w:val="0"/>
              <w:marRight w:val="0"/>
              <w:marTop w:val="0"/>
              <w:marBottom w:val="0"/>
              <w:divBdr>
                <w:top w:val="none" w:sz="0" w:space="0" w:color="auto"/>
                <w:left w:val="none" w:sz="0" w:space="0" w:color="auto"/>
                <w:bottom w:val="none" w:sz="0" w:space="0" w:color="auto"/>
                <w:right w:val="none" w:sz="0" w:space="0" w:color="auto"/>
              </w:divBdr>
            </w:div>
            <w:div w:id="824934338">
              <w:marLeft w:val="0"/>
              <w:marRight w:val="0"/>
              <w:marTop w:val="0"/>
              <w:marBottom w:val="0"/>
              <w:divBdr>
                <w:top w:val="none" w:sz="0" w:space="0" w:color="auto"/>
                <w:left w:val="none" w:sz="0" w:space="0" w:color="auto"/>
                <w:bottom w:val="none" w:sz="0" w:space="0" w:color="auto"/>
                <w:right w:val="none" w:sz="0" w:space="0" w:color="auto"/>
              </w:divBdr>
            </w:div>
            <w:div w:id="1629049376">
              <w:marLeft w:val="0"/>
              <w:marRight w:val="0"/>
              <w:marTop w:val="0"/>
              <w:marBottom w:val="0"/>
              <w:divBdr>
                <w:top w:val="none" w:sz="0" w:space="0" w:color="auto"/>
                <w:left w:val="none" w:sz="0" w:space="0" w:color="auto"/>
                <w:bottom w:val="none" w:sz="0" w:space="0" w:color="auto"/>
                <w:right w:val="none" w:sz="0" w:space="0" w:color="auto"/>
              </w:divBdr>
            </w:div>
            <w:div w:id="11620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82962">
      <w:bodyDiv w:val="1"/>
      <w:marLeft w:val="0"/>
      <w:marRight w:val="0"/>
      <w:marTop w:val="0"/>
      <w:marBottom w:val="0"/>
      <w:divBdr>
        <w:top w:val="none" w:sz="0" w:space="0" w:color="auto"/>
        <w:left w:val="none" w:sz="0" w:space="0" w:color="auto"/>
        <w:bottom w:val="none" w:sz="0" w:space="0" w:color="auto"/>
        <w:right w:val="none" w:sz="0" w:space="0" w:color="auto"/>
      </w:divBdr>
    </w:div>
    <w:div w:id="1719742251">
      <w:bodyDiv w:val="1"/>
      <w:marLeft w:val="0"/>
      <w:marRight w:val="0"/>
      <w:marTop w:val="0"/>
      <w:marBottom w:val="0"/>
      <w:divBdr>
        <w:top w:val="none" w:sz="0" w:space="0" w:color="auto"/>
        <w:left w:val="none" w:sz="0" w:space="0" w:color="auto"/>
        <w:bottom w:val="none" w:sz="0" w:space="0" w:color="auto"/>
        <w:right w:val="none" w:sz="0" w:space="0" w:color="auto"/>
      </w:divBdr>
    </w:div>
    <w:div w:id="1809668472">
      <w:bodyDiv w:val="1"/>
      <w:marLeft w:val="0"/>
      <w:marRight w:val="0"/>
      <w:marTop w:val="0"/>
      <w:marBottom w:val="0"/>
      <w:divBdr>
        <w:top w:val="none" w:sz="0" w:space="0" w:color="auto"/>
        <w:left w:val="none" w:sz="0" w:space="0" w:color="auto"/>
        <w:bottom w:val="none" w:sz="0" w:space="0" w:color="auto"/>
        <w:right w:val="none" w:sz="0" w:space="0" w:color="auto"/>
      </w:divBdr>
    </w:div>
    <w:div w:id="19728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3046</TotalTime>
  <Pages>3</Pages>
  <Words>714</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Quinonez</dc:creator>
  <cp:keywords/>
  <dc:description/>
  <cp:lastModifiedBy>Daisy Quinonez</cp:lastModifiedBy>
  <cp:revision>3</cp:revision>
  <dcterms:created xsi:type="dcterms:W3CDTF">2022-04-19T03:26:00Z</dcterms:created>
  <dcterms:modified xsi:type="dcterms:W3CDTF">2022-04-27T21:48:00Z</dcterms:modified>
</cp:coreProperties>
</file>